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F97B48" w14:textId="77777777" w:rsidR="00000000" w:rsidRDefault="00AA47AD">
      <w:pPr>
        <w:pStyle w:val="Predeterminado"/>
        <w:framePr w:w="1771" w:h="1626" w:hSpace="181" w:wrap="auto" w:vAnchor="text" w:hAnchor="text" w:x="-478" w:y="-419"/>
        <w:shd w:val="clear" w:color="auto" w:fill="FFFFFF"/>
      </w:pPr>
      <w:r>
        <w:rPr>
          <w:lang w:val="es-ES_tradnl"/>
        </w:rPr>
        <w:pict w14:anchorId="184156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 o:spid="_x0000_i1027" type="#_x0000_t75" alt="" style="width:73.5pt;height:73.5pt">
            <v:imagedata r:id="rId7" o:title=""/>
          </v:shape>
        </w:pict>
      </w:r>
    </w:p>
    <w:p w14:paraId="13FB406B" w14:textId="77777777" w:rsidR="00000000" w:rsidRDefault="00AA47AD">
      <w:pPr>
        <w:pStyle w:val="Predeterminado"/>
        <w:framePr w:w="3600" w:h="1618" w:hRule="exact" w:hSpace="181" w:wrap="auto" w:vAnchor="text" w:hAnchor="text" w:x="1504" w:y="198"/>
      </w:pPr>
      <w:r>
        <w:rPr>
          <w:color w:val="FFFFFF"/>
          <w:sz w:val="144"/>
        </w:rPr>
        <w:t>UCA</w:t>
      </w:r>
      <w:r>
        <w:rPr>
          <w:sz w:val="144"/>
        </w:rPr>
        <w:t>A</w:t>
      </w:r>
    </w:p>
    <w:p w14:paraId="28E2F262" w14:textId="77777777" w:rsidR="00000000" w:rsidRDefault="00AA47AD">
      <w:pPr>
        <w:pStyle w:val="Predeterminado"/>
        <w:framePr w:w="5040" w:h="1800" w:hRule="exact" w:hSpace="181" w:wrap="auto" w:vAnchor="text" w:hAnchor="text" w:x="4922" w:y="17"/>
        <w:jc w:val="right"/>
      </w:pPr>
      <w:r>
        <w:rPr>
          <w:color w:val="FFFFFF"/>
          <w:sz w:val="36"/>
          <w:lang w:val="es-ES"/>
        </w:rPr>
        <w:t>PONTIFICIA</w:t>
      </w:r>
    </w:p>
    <w:p w14:paraId="25796535" w14:textId="77777777" w:rsidR="00000000" w:rsidRDefault="00AA47AD">
      <w:pPr>
        <w:pStyle w:val="Predeterminado"/>
        <w:framePr w:w="5040" w:h="1800" w:hRule="exact" w:hSpace="181" w:wrap="auto" w:vAnchor="text" w:hAnchor="text" w:x="4922" w:y="17"/>
        <w:jc w:val="right"/>
      </w:pPr>
      <w:r>
        <w:rPr>
          <w:color w:val="FFFFFF"/>
          <w:sz w:val="36"/>
          <w:lang w:val="es-ES"/>
        </w:rPr>
        <w:t>UNIVERSIDAD CATÓLICA ARGENTINA</w:t>
      </w:r>
    </w:p>
    <w:p w14:paraId="3D2C604C" w14:textId="77777777" w:rsidR="00000000" w:rsidRDefault="00AA47AD">
      <w:pPr>
        <w:pStyle w:val="Predeterminado"/>
        <w:framePr w:w="5040" w:h="1800" w:hRule="exact" w:hSpace="181" w:wrap="auto" w:vAnchor="text" w:hAnchor="text" w:x="4922" w:y="17"/>
        <w:jc w:val="right"/>
      </w:pPr>
      <w:r>
        <w:rPr>
          <w:color w:val="FFFFFF"/>
          <w:sz w:val="36"/>
          <w:lang w:val="es-ES"/>
        </w:rPr>
        <w:t>Santa María de los Buenos Aires</w:t>
      </w:r>
    </w:p>
    <w:tbl>
      <w:tblPr>
        <w:tblW w:w="0" w:type="auto"/>
        <w:tblInd w:w="-323" w:type="dxa"/>
        <w:tblLayout w:type="fixed"/>
        <w:tblLook w:val="0000" w:firstRow="0" w:lastRow="0" w:firstColumn="0" w:lastColumn="0" w:noHBand="0" w:noVBand="0"/>
      </w:tblPr>
      <w:tblGrid>
        <w:gridCol w:w="10537"/>
      </w:tblGrid>
      <w:tr w:rsidR="00000000" w:rsidRPr="00AA47AD" w14:paraId="3876791B" w14:textId="77777777">
        <w:tc>
          <w:tcPr>
            <w:tcW w:w="10537" w:type="dxa"/>
            <w:tcBorders>
              <w:top w:val="single" w:sz="4" w:space="0" w:color="000000"/>
              <w:left w:val="single" w:sz="4" w:space="0" w:color="000000"/>
              <w:bottom w:val="single" w:sz="4" w:space="0" w:color="000000"/>
              <w:right w:val="single" w:sz="4" w:space="0" w:color="000000"/>
            </w:tcBorders>
            <w:shd w:val="clear" w:color="auto" w:fill="003366"/>
          </w:tcPr>
          <w:p w14:paraId="6A77065E" w14:textId="77777777" w:rsidR="00000000" w:rsidRDefault="00AA47AD">
            <w:pPr>
              <w:pStyle w:val="Tulo"/>
              <w:pBdr>
                <w:right w:val="single" w:sz="4" w:space="4" w:color="000000"/>
              </w:pBdr>
              <w:jc w:val="right"/>
              <w:rPr>
                <w:rFonts w:cs="Times New Roman"/>
                <w:bCs w:val="0"/>
                <w:szCs w:val="24"/>
              </w:rPr>
            </w:pPr>
          </w:p>
          <w:p w14:paraId="733C3E47" w14:textId="77777777" w:rsidR="00000000" w:rsidRDefault="00AA47AD">
            <w:pPr>
              <w:pStyle w:val="Tulo"/>
              <w:pBdr>
                <w:right w:val="single" w:sz="4" w:space="4" w:color="000000"/>
              </w:pBdr>
              <w:jc w:val="right"/>
              <w:rPr>
                <w:rFonts w:cs="Times New Roman"/>
                <w:bCs w:val="0"/>
                <w:szCs w:val="24"/>
              </w:rPr>
            </w:pPr>
          </w:p>
          <w:p w14:paraId="692E2CD7" w14:textId="77777777" w:rsidR="00000000" w:rsidRDefault="00AA47AD">
            <w:pPr>
              <w:pStyle w:val="Tulo"/>
              <w:pBdr>
                <w:right w:val="single" w:sz="4" w:space="4" w:color="000000"/>
              </w:pBdr>
              <w:jc w:val="right"/>
              <w:rPr>
                <w:rFonts w:cs="Times New Roman"/>
                <w:bCs w:val="0"/>
                <w:szCs w:val="24"/>
              </w:rPr>
            </w:pPr>
          </w:p>
          <w:p w14:paraId="2B7B2878" w14:textId="77777777" w:rsidR="00000000" w:rsidRDefault="00AA47AD">
            <w:pPr>
              <w:pStyle w:val="Tulo"/>
              <w:pBdr>
                <w:right w:val="single" w:sz="4" w:space="4" w:color="000000"/>
              </w:pBdr>
              <w:jc w:val="right"/>
              <w:rPr>
                <w:rFonts w:cs="Times New Roman"/>
                <w:bCs w:val="0"/>
                <w:szCs w:val="24"/>
              </w:rPr>
            </w:pPr>
          </w:p>
          <w:p w14:paraId="2ECC60CE" w14:textId="77777777" w:rsidR="00000000" w:rsidRDefault="00AA47AD">
            <w:pPr>
              <w:pStyle w:val="Tulo"/>
              <w:pBdr>
                <w:right w:val="single" w:sz="4" w:space="4" w:color="000000"/>
              </w:pBdr>
              <w:jc w:val="right"/>
              <w:rPr>
                <w:rFonts w:cs="Times New Roman"/>
                <w:bCs w:val="0"/>
                <w:szCs w:val="24"/>
              </w:rPr>
            </w:pPr>
          </w:p>
          <w:p w14:paraId="71AA972C" w14:textId="77777777" w:rsidR="00000000" w:rsidRDefault="00AA47AD">
            <w:pPr>
              <w:pStyle w:val="Tulo"/>
              <w:pBdr>
                <w:right w:val="single" w:sz="4" w:space="4" w:color="000000"/>
              </w:pBdr>
              <w:jc w:val="right"/>
              <w:rPr>
                <w:rFonts w:cs="Times New Roman"/>
                <w:bCs w:val="0"/>
                <w:szCs w:val="24"/>
              </w:rPr>
            </w:pPr>
          </w:p>
        </w:tc>
      </w:tr>
    </w:tbl>
    <w:p w14:paraId="3410E00B" w14:textId="77777777" w:rsidR="00000000" w:rsidRDefault="00AA47AD">
      <w:pPr>
        <w:pStyle w:val="Encabezado1"/>
        <w:numPr>
          <w:ilvl w:val="0"/>
          <w:numId w:val="1"/>
        </w:numPr>
        <w:rPr>
          <w:rFonts w:cs="Times New Roman"/>
          <w:bCs w:val="0"/>
          <w:szCs w:val="24"/>
        </w:rPr>
      </w:pPr>
    </w:p>
    <w:p w14:paraId="066FDAAB" w14:textId="77777777" w:rsidR="00000000" w:rsidRDefault="00AA47AD">
      <w:pPr>
        <w:pStyle w:val="Predeterminado"/>
        <w:pBdr>
          <w:bottom w:val="single" w:sz="4" w:space="1" w:color="000000"/>
        </w:pBdr>
      </w:pPr>
    </w:p>
    <w:p w14:paraId="0C248F57" w14:textId="77777777" w:rsidR="00000000" w:rsidRDefault="00AA47AD">
      <w:pPr>
        <w:pStyle w:val="Predeterminado"/>
      </w:pPr>
    </w:p>
    <w:p w14:paraId="719BBF70" w14:textId="77777777" w:rsidR="00000000" w:rsidRDefault="00AA47AD">
      <w:pPr>
        <w:pStyle w:val="Predeterminado"/>
        <w:jc w:val="center"/>
      </w:pPr>
      <w:r>
        <w:rPr>
          <w:b/>
          <w:sz w:val="32"/>
          <w:lang w:val="es-AR"/>
        </w:rPr>
        <w:t>FACULTAD DE INGENIERÍA Y CIENCIAS AGRARIAS</w:t>
      </w:r>
    </w:p>
    <w:p w14:paraId="7F0C2CC9" w14:textId="77777777" w:rsidR="00000000" w:rsidRDefault="00AA47AD">
      <w:pPr>
        <w:pStyle w:val="Predeterminado"/>
        <w:jc w:val="center"/>
      </w:pPr>
    </w:p>
    <w:p w14:paraId="111F1A07" w14:textId="77777777" w:rsidR="00000000" w:rsidRDefault="00AA47AD">
      <w:pPr>
        <w:pStyle w:val="Predeterminado"/>
        <w:jc w:val="center"/>
      </w:pPr>
      <w:r>
        <w:rPr>
          <w:sz w:val="36"/>
          <w:lang w:val="es-AR"/>
        </w:rPr>
        <w:t xml:space="preserve"> </w:t>
      </w:r>
    </w:p>
    <w:tbl>
      <w:tblPr>
        <w:tblW w:w="0" w:type="auto"/>
        <w:tblInd w:w="-5" w:type="dxa"/>
        <w:tblLayout w:type="fixed"/>
        <w:tblLook w:val="0000" w:firstRow="0" w:lastRow="0" w:firstColumn="0" w:lastColumn="0" w:noHBand="0" w:noVBand="0"/>
      </w:tblPr>
      <w:tblGrid>
        <w:gridCol w:w="9762"/>
      </w:tblGrid>
      <w:tr w:rsidR="00000000" w:rsidRPr="00AA47AD" w14:paraId="467D433F" w14:textId="77777777">
        <w:tc>
          <w:tcPr>
            <w:tcW w:w="9762" w:type="dxa"/>
            <w:tcBorders>
              <w:top w:val="single" w:sz="4" w:space="0" w:color="000000"/>
              <w:left w:val="single" w:sz="4" w:space="0" w:color="000000"/>
              <w:bottom w:val="single" w:sz="4" w:space="0" w:color="000000"/>
              <w:right w:val="single" w:sz="4" w:space="0" w:color="000000"/>
            </w:tcBorders>
            <w:shd w:val="clear" w:color="auto" w:fill="003366"/>
          </w:tcPr>
          <w:p w14:paraId="71362D85" w14:textId="77777777" w:rsidR="00000000" w:rsidRDefault="00AA47AD">
            <w:pPr>
              <w:pStyle w:val="Predeterminado"/>
            </w:pPr>
            <w:r>
              <w:rPr>
                <w:b/>
                <w:sz w:val="28"/>
                <w:lang w:val="es-AR"/>
              </w:rPr>
              <w:t>1- PROYECTO</w:t>
            </w:r>
          </w:p>
        </w:tc>
      </w:tr>
    </w:tbl>
    <w:p w14:paraId="4E89B282" w14:textId="77777777" w:rsidR="00000000" w:rsidRDefault="00AA47AD">
      <w:pPr>
        <w:pStyle w:val="Predeterminado"/>
      </w:pPr>
    </w:p>
    <w:p w14:paraId="13921147" w14:textId="77777777" w:rsidR="00000000" w:rsidRDefault="00AA47AD">
      <w:pPr>
        <w:pStyle w:val="Predeterminado"/>
        <w:numPr>
          <w:ilvl w:val="1"/>
          <w:numId w:val="5"/>
        </w:numPr>
        <w:jc w:val="both"/>
      </w:pPr>
      <w:r>
        <w:rPr>
          <w:b/>
          <w:lang w:val="es-AR"/>
        </w:rPr>
        <w:t xml:space="preserve">Título:  </w:t>
      </w:r>
    </w:p>
    <w:p w14:paraId="65AD816B" w14:textId="77777777" w:rsidR="00000000" w:rsidRDefault="00AA47AD">
      <w:pPr>
        <w:pStyle w:val="Predeterminado"/>
        <w:spacing w:line="360" w:lineRule="auto"/>
      </w:pPr>
    </w:p>
    <w:p w14:paraId="4C4AE1A7" w14:textId="77777777" w:rsidR="00000000" w:rsidRDefault="00AA47AD">
      <w:pPr>
        <w:pStyle w:val="Predeterminado"/>
        <w:spacing w:line="360" w:lineRule="auto"/>
      </w:pPr>
      <w:r>
        <w:rPr>
          <w:b/>
          <w:color w:val="000000"/>
          <w:shd w:val="clear" w:color="auto" w:fill="FFFFFF"/>
          <w:lang w:val="es-ES"/>
        </w:rPr>
        <w:t>El potencial terapé</w:t>
      </w:r>
      <w:r>
        <w:rPr>
          <w:b/>
          <w:color w:val="000000"/>
          <w:shd w:val="clear" w:color="auto" w:fill="FFFFFF"/>
          <w:lang w:val="es-ES"/>
        </w:rPr>
        <w:t xml:space="preserve">utico e inmunomodulador de los polisacáridos de las paredes celulares vegetales de la especie forrajera </w:t>
      </w:r>
      <w:r>
        <w:rPr>
          <w:b/>
          <w:i/>
          <w:color w:val="000000"/>
          <w:shd w:val="clear" w:color="auto" w:fill="FFFFFF"/>
          <w:lang w:val="es-ES"/>
        </w:rPr>
        <w:t>Lotus tenuis</w:t>
      </w:r>
      <w:r>
        <w:rPr>
          <w:b/>
          <w:color w:val="000000"/>
          <w:shd w:val="clear" w:color="auto" w:fill="FFFFFF"/>
          <w:lang w:val="es-ES"/>
        </w:rPr>
        <w:t>.</w:t>
      </w:r>
    </w:p>
    <w:p w14:paraId="6FBFA034" w14:textId="77777777" w:rsidR="00000000" w:rsidRDefault="00AA47AD">
      <w:pPr>
        <w:pStyle w:val="Predeterminado"/>
        <w:jc w:val="both"/>
      </w:pPr>
    </w:p>
    <w:p w14:paraId="2571D13F" w14:textId="77777777" w:rsidR="00000000" w:rsidRDefault="00AA47AD">
      <w:pPr>
        <w:pStyle w:val="Predeterminado"/>
        <w:numPr>
          <w:ilvl w:val="1"/>
          <w:numId w:val="5"/>
        </w:numPr>
        <w:jc w:val="both"/>
      </w:pPr>
      <w:r>
        <w:rPr>
          <w:b/>
          <w:lang w:val="es-AR"/>
        </w:rPr>
        <w:t xml:space="preserve">Área Temática  </w:t>
      </w:r>
    </w:p>
    <w:p w14:paraId="1A751629" w14:textId="77777777" w:rsidR="00000000" w:rsidRDefault="00AA47AD">
      <w:pPr>
        <w:pStyle w:val="Predeterminado"/>
        <w:ind w:left="360"/>
        <w:jc w:val="both"/>
      </w:pPr>
    </w:p>
    <w:p w14:paraId="18DFE62F" w14:textId="77777777" w:rsidR="00000000" w:rsidRDefault="00AA47AD">
      <w:pPr>
        <w:pStyle w:val="Predeterminado"/>
        <w:spacing w:line="360" w:lineRule="auto"/>
        <w:ind w:firstLine="709"/>
      </w:pPr>
      <w:r>
        <w:rPr>
          <w:lang w:val="es-AR"/>
        </w:rPr>
        <w:t>Disciplina: Nutrición y alimentación animal</w:t>
      </w:r>
    </w:p>
    <w:p w14:paraId="608E50E5" w14:textId="77777777" w:rsidR="00000000" w:rsidRDefault="00AA47AD">
      <w:pPr>
        <w:pStyle w:val="Predeterminado"/>
        <w:spacing w:line="360" w:lineRule="auto"/>
        <w:ind w:firstLine="709"/>
        <w:jc w:val="both"/>
      </w:pPr>
      <w:r>
        <w:rPr>
          <w:lang w:val="es-AR"/>
        </w:rPr>
        <w:t>Especialidad: Hidratos de Carbono, Polisacáridos</w:t>
      </w:r>
    </w:p>
    <w:p w14:paraId="4EC24765" w14:textId="77777777" w:rsidR="00000000" w:rsidRDefault="00AA47AD">
      <w:pPr>
        <w:pStyle w:val="Predeterminado"/>
        <w:jc w:val="both"/>
      </w:pPr>
    </w:p>
    <w:p w14:paraId="0E39BE3E" w14:textId="77777777" w:rsidR="00000000" w:rsidRDefault="00AA47AD">
      <w:pPr>
        <w:pStyle w:val="Predeterminado"/>
        <w:numPr>
          <w:ilvl w:val="1"/>
          <w:numId w:val="3"/>
        </w:numPr>
        <w:spacing w:line="360" w:lineRule="auto"/>
        <w:jc w:val="both"/>
      </w:pPr>
      <w:r>
        <w:rPr>
          <w:b/>
          <w:lang w:val="es-AR"/>
        </w:rPr>
        <w:t xml:space="preserve">Área Prioritaria: </w:t>
      </w:r>
    </w:p>
    <w:p w14:paraId="58440E1D" w14:textId="77777777" w:rsidR="00000000" w:rsidRDefault="00AA47AD">
      <w:pPr>
        <w:pStyle w:val="Predeterminado"/>
        <w:spacing w:line="360" w:lineRule="auto"/>
        <w:ind w:left="360" w:firstLine="348"/>
        <w:jc w:val="both"/>
      </w:pPr>
      <w:r>
        <w:rPr>
          <w:lang w:val="es-AR"/>
        </w:rPr>
        <w:t>Nuestro proyecto se encuadra en el area prioritaria de la salud y la producción, se enfoca en un aspecto biomédico con una potencial aplicación en el diseño de un producto biotecnológ</w:t>
      </w:r>
      <w:r>
        <w:rPr>
          <w:lang w:val="es-AR"/>
        </w:rPr>
        <w:t>ico de actividad terapeútica. El mismo posibilita la interdisciplinariedad con la interacción de investigadores de química, bioquímica, biología e ingeniería agronómica de la UCA, UCA Conicet y UBA Conicet.</w:t>
      </w:r>
    </w:p>
    <w:p w14:paraId="45DE5436" w14:textId="77777777" w:rsidR="00000000" w:rsidRDefault="00AA47AD">
      <w:pPr>
        <w:pStyle w:val="Predeterminado"/>
        <w:ind w:left="360"/>
        <w:jc w:val="both"/>
      </w:pPr>
    </w:p>
    <w:p w14:paraId="7D51881C" w14:textId="77777777" w:rsidR="00000000" w:rsidRDefault="00AA47AD">
      <w:pPr>
        <w:pStyle w:val="Predeterminado"/>
        <w:numPr>
          <w:ilvl w:val="1"/>
          <w:numId w:val="3"/>
        </w:numPr>
        <w:jc w:val="both"/>
      </w:pPr>
      <w:r>
        <w:rPr>
          <w:b/>
          <w:lang w:val="es-AR"/>
        </w:rPr>
        <w:lastRenderedPageBreak/>
        <w:t>Tipo de Proyecto:</w:t>
      </w:r>
      <w:r>
        <w:rPr>
          <w:lang w:val="es-AR"/>
        </w:rPr>
        <w:t xml:space="preserve"> Experimental</w:t>
      </w:r>
    </w:p>
    <w:p w14:paraId="3BDF9AF9" w14:textId="77777777" w:rsidR="00000000" w:rsidRDefault="00AA47AD">
      <w:pPr>
        <w:pStyle w:val="Prrafodelista"/>
      </w:pPr>
    </w:p>
    <w:p w14:paraId="0C492597" w14:textId="77777777" w:rsidR="00000000" w:rsidRDefault="00AA47AD">
      <w:pPr>
        <w:pStyle w:val="Predeterminado"/>
        <w:numPr>
          <w:ilvl w:val="1"/>
          <w:numId w:val="3"/>
        </w:numPr>
        <w:jc w:val="both"/>
      </w:pPr>
      <w:r>
        <w:rPr>
          <w:b/>
          <w:lang w:val="es-AR"/>
        </w:rPr>
        <w:t>Lugar de Trabajo:</w:t>
      </w:r>
    </w:p>
    <w:p w14:paraId="6D33D13E" w14:textId="77777777" w:rsidR="00000000" w:rsidRDefault="00AA47AD">
      <w:pPr>
        <w:pStyle w:val="Prafodelista1"/>
        <w:spacing w:line="360" w:lineRule="auto"/>
        <w:ind w:left="0"/>
      </w:pPr>
    </w:p>
    <w:p w14:paraId="77EF2AFC" w14:textId="77777777" w:rsidR="00000000" w:rsidRDefault="00AA47AD">
      <w:pPr>
        <w:pStyle w:val="Prafodelista1"/>
        <w:spacing w:line="360" w:lineRule="auto"/>
        <w:ind w:left="0" w:firstLine="360"/>
      </w:pPr>
      <w:r>
        <w:rPr>
          <w:lang w:val="es-AR"/>
        </w:rPr>
        <w:t>UCA, Laboratorio de evaluación de alimentos para uso animal (Leaa)</w:t>
      </w:r>
    </w:p>
    <w:p w14:paraId="2D51024E" w14:textId="77777777" w:rsidR="00000000" w:rsidRDefault="00AA47AD">
      <w:pPr>
        <w:pStyle w:val="Prafodelista1"/>
        <w:spacing w:line="360" w:lineRule="auto"/>
        <w:ind w:left="360"/>
      </w:pPr>
      <w:r>
        <w:rPr>
          <w:lang w:val="es-AR"/>
        </w:rPr>
        <w:t xml:space="preserve">UCA, Biomed </w:t>
      </w:r>
    </w:p>
    <w:p w14:paraId="17D22E73" w14:textId="77777777" w:rsidR="00000000" w:rsidRDefault="00AA47AD">
      <w:pPr>
        <w:pStyle w:val="Predeterminado"/>
        <w:spacing w:line="360" w:lineRule="auto"/>
        <w:ind w:firstLine="360"/>
      </w:pPr>
      <w:r>
        <w:rPr>
          <w:lang w:val="es-AR"/>
        </w:rPr>
        <w:t>UBA, Facultad de Agronomía, Cátedra de Química de Biomoléculas</w:t>
      </w:r>
    </w:p>
    <w:p w14:paraId="754CA985" w14:textId="77777777" w:rsidR="00000000" w:rsidRDefault="00AA47AD">
      <w:pPr>
        <w:pStyle w:val="Predeterminado"/>
        <w:pageBreakBefore/>
        <w:spacing w:line="360" w:lineRule="auto"/>
        <w:ind w:firstLine="360"/>
      </w:pPr>
    </w:p>
    <w:p w14:paraId="191058EB" w14:textId="77777777" w:rsidR="00000000" w:rsidRDefault="00AA47AD">
      <w:pPr>
        <w:pStyle w:val="Predeterminado"/>
      </w:pPr>
    </w:p>
    <w:tbl>
      <w:tblPr>
        <w:tblW w:w="0" w:type="auto"/>
        <w:tblInd w:w="70" w:type="dxa"/>
        <w:tblLayout w:type="fixed"/>
        <w:tblCellMar>
          <w:left w:w="70" w:type="dxa"/>
          <w:right w:w="70" w:type="dxa"/>
        </w:tblCellMar>
        <w:tblLook w:val="0000" w:firstRow="0" w:lastRow="0" w:firstColumn="0" w:lastColumn="0" w:noHBand="0" w:noVBand="0"/>
      </w:tblPr>
      <w:tblGrid>
        <w:gridCol w:w="9644"/>
      </w:tblGrid>
      <w:tr w:rsidR="00000000" w:rsidRPr="00AA47AD" w14:paraId="7E5AF94B" w14:textId="77777777">
        <w:trPr>
          <w:trHeight w:val="121"/>
        </w:trPr>
        <w:tc>
          <w:tcPr>
            <w:tcW w:w="9644" w:type="dxa"/>
            <w:tcBorders>
              <w:top w:val="single" w:sz="2" w:space="0" w:color="000000"/>
              <w:left w:val="single" w:sz="2" w:space="0" w:color="000000"/>
              <w:bottom w:val="single" w:sz="2" w:space="0" w:color="000000"/>
              <w:right w:val="single" w:sz="2" w:space="0" w:color="000000"/>
            </w:tcBorders>
            <w:shd w:val="clear" w:color="auto" w:fill="003366"/>
          </w:tcPr>
          <w:p w14:paraId="232FDDC1" w14:textId="77777777" w:rsidR="00000000" w:rsidRDefault="00AA47AD">
            <w:pPr>
              <w:pStyle w:val="Predeterminado"/>
              <w:jc w:val="both"/>
            </w:pPr>
            <w:r>
              <w:rPr>
                <w:b/>
                <w:sz w:val="28"/>
                <w:lang w:val="es-AR"/>
              </w:rPr>
              <w:t>2- RESPONSABLES</w:t>
            </w:r>
          </w:p>
        </w:tc>
      </w:tr>
    </w:tbl>
    <w:p w14:paraId="031ABDB1" w14:textId="77777777" w:rsidR="00000000" w:rsidRDefault="00AA47AD">
      <w:pPr>
        <w:pStyle w:val="Predeterminado"/>
        <w:spacing w:line="360" w:lineRule="auto"/>
        <w:jc w:val="both"/>
      </w:pPr>
    </w:p>
    <w:p w14:paraId="33EBE420" w14:textId="77777777" w:rsidR="00000000" w:rsidRDefault="00AA47AD">
      <w:pPr>
        <w:pStyle w:val="Predeterminado"/>
        <w:spacing w:line="360" w:lineRule="auto"/>
        <w:jc w:val="both"/>
      </w:pPr>
      <w:r>
        <w:rPr>
          <w:b/>
          <w:lang w:val="es-AR"/>
        </w:rPr>
        <w:t>2.1 Director</w:t>
      </w:r>
    </w:p>
    <w:p w14:paraId="7B9B7BA3" w14:textId="77777777" w:rsidR="00000000" w:rsidRDefault="00AA47AD">
      <w:pPr>
        <w:pStyle w:val="Predeterminado"/>
        <w:spacing w:line="360" w:lineRule="auto"/>
        <w:ind w:left="708"/>
        <w:jc w:val="both"/>
      </w:pPr>
      <w:r>
        <w:rPr>
          <w:b/>
          <w:lang w:val="es-AR"/>
        </w:rPr>
        <w:t>Apellido y nombre</w:t>
      </w:r>
      <w:r>
        <w:rPr>
          <w:lang w:val="es-AR"/>
        </w:rPr>
        <w:t>: Ciancia, Marina</w:t>
      </w:r>
    </w:p>
    <w:p w14:paraId="16E30F28" w14:textId="77777777" w:rsidR="00000000" w:rsidRDefault="00AA47AD">
      <w:pPr>
        <w:pStyle w:val="Predeterminado"/>
        <w:spacing w:line="360" w:lineRule="auto"/>
        <w:ind w:left="708"/>
        <w:jc w:val="both"/>
      </w:pPr>
      <w:r>
        <w:rPr>
          <w:b/>
          <w:lang w:val="es-AR"/>
        </w:rPr>
        <w:t xml:space="preserve">Cargo Docente: </w:t>
      </w:r>
      <w:r>
        <w:rPr>
          <w:lang w:val="es-AR"/>
        </w:rPr>
        <w:t>Profesora Asociada (FAUBA), Investigadora Independiente (CIHIDECAR, CONICET-UBA)</w:t>
      </w:r>
    </w:p>
    <w:p w14:paraId="1FC93D96" w14:textId="77777777" w:rsidR="00000000" w:rsidRDefault="00AA47AD">
      <w:pPr>
        <w:pStyle w:val="Predeterminado"/>
        <w:spacing w:line="360" w:lineRule="auto"/>
        <w:ind w:left="708"/>
        <w:jc w:val="both"/>
      </w:pPr>
      <w:r>
        <w:rPr>
          <w:b/>
          <w:lang w:val="es-AR"/>
        </w:rPr>
        <w:t xml:space="preserve">Dedicación: </w:t>
      </w:r>
      <w:r>
        <w:rPr>
          <w:lang w:val="es-AR"/>
        </w:rPr>
        <w:t>Exclusiva</w:t>
      </w:r>
    </w:p>
    <w:p w14:paraId="064C64FC" w14:textId="77777777" w:rsidR="00000000" w:rsidRDefault="00AA47AD">
      <w:pPr>
        <w:pStyle w:val="Predeterminado"/>
        <w:spacing w:line="360" w:lineRule="auto"/>
        <w:ind w:left="708"/>
        <w:jc w:val="both"/>
      </w:pPr>
      <w:r>
        <w:rPr>
          <w:b/>
          <w:lang w:val="es-AR"/>
        </w:rPr>
        <w:t xml:space="preserve">Títulos académicos obtenidos: </w:t>
      </w:r>
      <w:r>
        <w:rPr>
          <w:lang w:val="es-AR"/>
        </w:rPr>
        <w:t>Doctora de la Universidad de Buenos Aires, Área Ciencias Químicas</w:t>
      </w:r>
    </w:p>
    <w:p w14:paraId="3BCAC195" w14:textId="77777777" w:rsidR="00000000" w:rsidRDefault="00AA47AD">
      <w:pPr>
        <w:pStyle w:val="Predeterminado"/>
        <w:spacing w:line="360" w:lineRule="auto"/>
        <w:jc w:val="both"/>
      </w:pPr>
    </w:p>
    <w:p w14:paraId="6C714725" w14:textId="77777777" w:rsidR="00000000" w:rsidRDefault="00AA47AD">
      <w:pPr>
        <w:pStyle w:val="Predeterminado"/>
        <w:spacing w:line="360" w:lineRule="auto"/>
        <w:jc w:val="both"/>
      </w:pPr>
      <w:r>
        <w:rPr>
          <w:b/>
          <w:lang w:val="es-AR"/>
        </w:rPr>
        <w:t xml:space="preserve">2.2 Codirector: </w:t>
      </w:r>
    </w:p>
    <w:p w14:paraId="50C3445C" w14:textId="77777777" w:rsidR="00000000" w:rsidRDefault="00AA47AD">
      <w:pPr>
        <w:pStyle w:val="Predeterminado"/>
        <w:spacing w:line="360" w:lineRule="auto"/>
        <w:ind w:left="708"/>
        <w:jc w:val="both"/>
      </w:pPr>
      <w:r>
        <w:rPr>
          <w:b/>
          <w:lang w:val="es-AR"/>
        </w:rPr>
        <w:t>Apellido y nombre</w:t>
      </w:r>
      <w:r>
        <w:rPr>
          <w:lang w:val="es-AR"/>
        </w:rPr>
        <w:t>: Crema</w:t>
      </w:r>
      <w:r>
        <w:rPr>
          <w:lang w:val="es-AR"/>
        </w:rPr>
        <w:t>schi, Graciela</w:t>
      </w:r>
    </w:p>
    <w:p w14:paraId="6E22693E" w14:textId="77777777" w:rsidR="00000000" w:rsidRDefault="00AA47AD">
      <w:pPr>
        <w:pStyle w:val="Predeterminado"/>
        <w:spacing w:line="360" w:lineRule="auto"/>
        <w:ind w:left="708"/>
        <w:jc w:val="both"/>
      </w:pPr>
      <w:r>
        <w:rPr>
          <w:b/>
          <w:lang w:val="es-AR"/>
        </w:rPr>
        <w:t xml:space="preserve">Cargo Docente: </w:t>
      </w:r>
      <w:r>
        <w:rPr>
          <w:lang w:val="es-AR"/>
        </w:rPr>
        <w:t>Profesora Asociada regular dedicacion simple UBA Facultad Farmacia y Bioquímica</w:t>
      </w:r>
    </w:p>
    <w:p w14:paraId="392C57F9" w14:textId="77777777" w:rsidR="00000000" w:rsidRDefault="00AA47AD">
      <w:pPr>
        <w:pStyle w:val="Predeterminado"/>
        <w:spacing w:line="360" w:lineRule="auto"/>
        <w:ind w:left="708"/>
        <w:jc w:val="both"/>
      </w:pPr>
      <w:r>
        <w:rPr>
          <w:b/>
          <w:lang w:val="es-AR"/>
        </w:rPr>
        <w:t xml:space="preserve">Dedicación: </w:t>
      </w:r>
      <w:r>
        <w:rPr>
          <w:lang w:val="es-AR"/>
        </w:rPr>
        <w:t>Simple</w:t>
      </w:r>
    </w:p>
    <w:p w14:paraId="7537CD63" w14:textId="77777777" w:rsidR="00000000" w:rsidRDefault="00AA47AD">
      <w:pPr>
        <w:pStyle w:val="Predeterminado"/>
        <w:spacing w:line="360" w:lineRule="auto"/>
        <w:ind w:left="708"/>
        <w:jc w:val="both"/>
      </w:pPr>
      <w:r>
        <w:rPr>
          <w:b/>
          <w:lang w:val="es-AR"/>
        </w:rPr>
        <w:t xml:space="preserve">Títulos académicos obtenidos: </w:t>
      </w:r>
      <w:r>
        <w:rPr>
          <w:lang w:val="es-AR"/>
        </w:rPr>
        <w:t>Doctora en bioquímica UBA</w:t>
      </w:r>
    </w:p>
    <w:p w14:paraId="78CF3850" w14:textId="77777777" w:rsidR="00000000" w:rsidRDefault="00AA47AD">
      <w:pPr>
        <w:pStyle w:val="Predeterminado"/>
        <w:jc w:val="both"/>
      </w:pPr>
    </w:p>
    <w:p w14:paraId="40B03DE3" w14:textId="77777777" w:rsidR="00000000" w:rsidRDefault="00AA47AD">
      <w:pPr>
        <w:pStyle w:val="Predeterminado"/>
        <w:jc w:val="both"/>
      </w:pPr>
    </w:p>
    <w:tbl>
      <w:tblPr>
        <w:tblW w:w="0" w:type="auto"/>
        <w:tblInd w:w="70" w:type="dxa"/>
        <w:tblLayout w:type="fixed"/>
        <w:tblCellMar>
          <w:left w:w="70" w:type="dxa"/>
          <w:right w:w="70" w:type="dxa"/>
        </w:tblCellMar>
        <w:tblLook w:val="0000" w:firstRow="0" w:lastRow="0" w:firstColumn="0" w:lastColumn="0" w:noHBand="0" w:noVBand="0"/>
      </w:tblPr>
      <w:tblGrid>
        <w:gridCol w:w="9644"/>
      </w:tblGrid>
      <w:tr w:rsidR="00000000" w:rsidRPr="00AA47AD" w14:paraId="5B28853F" w14:textId="77777777">
        <w:trPr>
          <w:trHeight w:val="316"/>
        </w:trPr>
        <w:tc>
          <w:tcPr>
            <w:tcW w:w="9644" w:type="dxa"/>
            <w:tcBorders>
              <w:top w:val="single" w:sz="2" w:space="0" w:color="000000"/>
              <w:left w:val="single" w:sz="2" w:space="0" w:color="000000"/>
              <w:bottom w:val="single" w:sz="2" w:space="0" w:color="000000"/>
              <w:right w:val="single" w:sz="2" w:space="0" w:color="000000"/>
            </w:tcBorders>
            <w:shd w:val="clear" w:color="auto" w:fill="003366"/>
          </w:tcPr>
          <w:p w14:paraId="44430BCD" w14:textId="77777777" w:rsidR="00000000" w:rsidRDefault="00AA47AD">
            <w:pPr>
              <w:pStyle w:val="Predeterminado"/>
              <w:jc w:val="both"/>
            </w:pPr>
            <w:r>
              <w:rPr>
                <w:b/>
                <w:sz w:val="28"/>
                <w:lang w:val="es-AR"/>
              </w:rPr>
              <w:t>3.  PLAN DE INVESTIGACIÓN</w:t>
            </w:r>
          </w:p>
        </w:tc>
      </w:tr>
    </w:tbl>
    <w:p w14:paraId="3C8CB08E" w14:textId="77777777" w:rsidR="00000000" w:rsidRDefault="00AA47AD">
      <w:pPr>
        <w:pStyle w:val="Predeterminado"/>
        <w:jc w:val="both"/>
      </w:pPr>
    </w:p>
    <w:p w14:paraId="7C5E1C49" w14:textId="77777777" w:rsidR="00000000" w:rsidRDefault="00AA47AD">
      <w:pPr>
        <w:pStyle w:val="Predeterminado"/>
        <w:spacing w:line="360" w:lineRule="auto"/>
        <w:jc w:val="both"/>
      </w:pPr>
      <w:r>
        <w:rPr>
          <w:b/>
          <w:color w:val="000000"/>
          <w:lang w:val="es-AR"/>
        </w:rPr>
        <w:t>3.1 Resumen</w:t>
      </w:r>
    </w:p>
    <w:p w14:paraId="41702184" w14:textId="77777777" w:rsidR="00000000" w:rsidRDefault="00AA47AD">
      <w:pPr>
        <w:pStyle w:val="Predeterminado"/>
        <w:spacing w:line="360" w:lineRule="auto"/>
        <w:ind w:firstLine="720"/>
        <w:jc w:val="both"/>
      </w:pPr>
      <w:r>
        <w:rPr>
          <w:color w:val="000000"/>
          <w:sz w:val="22"/>
          <w:shd w:val="clear" w:color="auto" w:fill="FFFFFF"/>
          <w:lang w:val="es-ES"/>
        </w:rPr>
        <w:t>Existen polisacáridos obtenid</w:t>
      </w:r>
      <w:r>
        <w:rPr>
          <w:color w:val="000000"/>
          <w:sz w:val="22"/>
          <w:shd w:val="clear" w:color="auto" w:fill="FFFFFF"/>
          <w:lang w:val="es-ES"/>
        </w:rPr>
        <w:t xml:space="preserve">os de las paredes celulares vegetales que exhiben ciertas propiedades terapéuticas benéficas que podrían deberse a la inmunomodulación del sistema inmune animal y humano, y que podrían tener un efecto </w:t>
      </w:r>
      <w:r>
        <w:rPr>
          <w:color w:val="000000"/>
          <w:sz w:val="22"/>
          <w:lang w:val="es-ES"/>
        </w:rPr>
        <w:t>antitumoral. Esta actividad antitumoral dependerí</w:t>
      </w:r>
      <w:r>
        <w:rPr>
          <w:color w:val="000000"/>
          <w:sz w:val="22"/>
          <w:lang w:val="es-ES"/>
        </w:rPr>
        <w:t>a del tipo de polisacárido utilizado, su grado de solubilidad en agua, el tamaño de su molécula, su forma y la presencia o no de ramificaciones en el mismo. Por otra parte, se sabe que las paredes celulares vegetales se comportan como matrices dinámicas fr</w:t>
      </w:r>
      <w:r>
        <w:rPr>
          <w:color w:val="000000"/>
          <w:sz w:val="22"/>
          <w:lang w:val="es-ES"/>
        </w:rPr>
        <w:t>ente a los estreses abióticos que sufren las plantas y estos estreses podrían cambiar la estructura de los polisacáridos que las componen, así como su distribución e interacciones en las paredes celulares.</w:t>
      </w:r>
    </w:p>
    <w:p w14:paraId="05C2AEAE" w14:textId="77777777" w:rsidR="00000000" w:rsidRDefault="00AA47AD">
      <w:pPr>
        <w:pStyle w:val="Predeterminado"/>
        <w:spacing w:line="360" w:lineRule="auto"/>
        <w:ind w:firstLine="720"/>
        <w:jc w:val="both"/>
      </w:pPr>
      <w:r>
        <w:rPr>
          <w:color w:val="000000"/>
          <w:sz w:val="22"/>
          <w:lang w:val="es-ES"/>
        </w:rPr>
        <w:t>Dentro de la familia de las leguminosas que presen</w:t>
      </w:r>
      <w:r>
        <w:rPr>
          <w:color w:val="000000"/>
          <w:sz w:val="22"/>
          <w:lang w:val="es-ES"/>
        </w:rPr>
        <w:t xml:space="preserve">tan un alto contenido de polisacáridos pécticos en sus paredes celulares, </w:t>
      </w:r>
      <w:r>
        <w:rPr>
          <w:i/>
          <w:color w:val="000000"/>
          <w:sz w:val="22"/>
          <w:lang w:val="es-ES"/>
        </w:rPr>
        <w:t>Lotus tenuis</w:t>
      </w:r>
      <w:r>
        <w:rPr>
          <w:color w:val="000000"/>
          <w:sz w:val="22"/>
          <w:lang w:val="es-ES"/>
        </w:rPr>
        <w:t xml:space="preserve"> se destaca por su plasticidad y subsistencia frente al estrés salino. Ya se han obtenido diferentes extractos de pectinas de tallos de plantas cultivadas en diferentes c</w:t>
      </w:r>
      <w:r>
        <w:rPr>
          <w:color w:val="000000"/>
          <w:sz w:val="22"/>
          <w:lang w:val="es-ES"/>
        </w:rPr>
        <w:t>ondiciones de salinidad. E</w:t>
      </w:r>
      <w:r>
        <w:rPr>
          <w:color w:val="000000"/>
          <w:sz w:val="22"/>
          <w:shd w:val="clear" w:color="auto" w:fill="FFFFFF"/>
          <w:lang w:val="es-ES"/>
        </w:rPr>
        <w:t xml:space="preserve">n este trabajo buscaremos </w:t>
      </w:r>
      <w:r>
        <w:rPr>
          <w:color w:val="000000"/>
          <w:sz w:val="22"/>
          <w:shd w:val="clear" w:color="auto" w:fill="FFFFFF"/>
          <w:lang w:val="es-ES"/>
        </w:rPr>
        <w:lastRenderedPageBreak/>
        <w:t>evaluar el potencial terapéutico e inmunomodulador de fracciones purificadas de estos polisacáridos pécticos con estructuras bien definidas y su posible utilización en monogástricos.</w:t>
      </w:r>
      <w:r>
        <w:rPr>
          <w:b/>
          <w:color w:val="000000"/>
          <w:sz w:val="22"/>
          <w:shd w:val="clear" w:color="auto" w:fill="FFFFFF"/>
          <w:lang w:val="es-ES"/>
        </w:rPr>
        <w:t xml:space="preserve"> </w:t>
      </w:r>
    </w:p>
    <w:p w14:paraId="18B40801" w14:textId="77777777" w:rsidR="00000000" w:rsidRDefault="00AA47AD">
      <w:pPr>
        <w:pStyle w:val="Predeterminado"/>
        <w:spacing w:line="360" w:lineRule="auto"/>
        <w:jc w:val="both"/>
      </w:pPr>
    </w:p>
    <w:p w14:paraId="4DA3CA15" w14:textId="77777777" w:rsidR="00000000" w:rsidRDefault="00AA47AD">
      <w:pPr>
        <w:pStyle w:val="Predeterminado"/>
        <w:spacing w:line="360" w:lineRule="auto"/>
        <w:jc w:val="both"/>
      </w:pPr>
      <w:r>
        <w:rPr>
          <w:b/>
          <w:color w:val="000000"/>
          <w:lang w:val="es-AR"/>
        </w:rPr>
        <w:t xml:space="preserve">3.2 Palabras claves </w:t>
      </w:r>
    </w:p>
    <w:p w14:paraId="1F8C588E" w14:textId="77777777" w:rsidR="00000000" w:rsidRDefault="00AA47AD">
      <w:pPr>
        <w:pStyle w:val="Predeterminado"/>
        <w:spacing w:line="360" w:lineRule="auto"/>
        <w:jc w:val="both"/>
      </w:pPr>
    </w:p>
    <w:p w14:paraId="662DF9A7" w14:textId="77777777" w:rsidR="00000000" w:rsidRDefault="00AA47AD">
      <w:pPr>
        <w:pStyle w:val="Predeterminado"/>
        <w:spacing w:line="360" w:lineRule="auto"/>
        <w:jc w:val="both"/>
      </w:pPr>
      <w:r>
        <w:rPr>
          <w:color w:val="000000"/>
          <w:lang w:val="es-AR"/>
        </w:rPr>
        <w:t xml:space="preserve">Pectina, acción antitumoral, inmunomodulación, </w:t>
      </w:r>
      <w:r>
        <w:rPr>
          <w:i/>
          <w:color w:val="000000"/>
          <w:lang w:val="es-AR"/>
        </w:rPr>
        <w:t>Lotus tenuis</w:t>
      </w:r>
    </w:p>
    <w:p w14:paraId="0CCF731B" w14:textId="77777777" w:rsidR="00000000" w:rsidRDefault="00AA47AD">
      <w:pPr>
        <w:pStyle w:val="Predeterminado"/>
        <w:spacing w:line="360" w:lineRule="auto"/>
        <w:jc w:val="both"/>
      </w:pPr>
    </w:p>
    <w:p w14:paraId="0D7F9AD1" w14:textId="77777777" w:rsidR="00000000" w:rsidRDefault="00AA47AD">
      <w:pPr>
        <w:pStyle w:val="Predeterminado"/>
        <w:spacing w:line="360" w:lineRule="auto"/>
        <w:jc w:val="both"/>
      </w:pPr>
      <w:r>
        <w:rPr>
          <w:b/>
          <w:color w:val="000000"/>
          <w:lang w:val="es-AR"/>
        </w:rPr>
        <w:t xml:space="preserve">3.3 Estado actual del conocimiento sobre el tema </w:t>
      </w:r>
    </w:p>
    <w:p w14:paraId="73630CC1" w14:textId="77777777" w:rsidR="00000000" w:rsidRDefault="00AA47AD">
      <w:pPr>
        <w:pStyle w:val="Predeterminado"/>
        <w:spacing w:line="360" w:lineRule="auto"/>
        <w:jc w:val="both"/>
      </w:pPr>
    </w:p>
    <w:p w14:paraId="39ED373C" w14:textId="77777777" w:rsidR="00000000" w:rsidRDefault="00AA47AD">
      <w:pPr>
        <w:pStyle w:val="Predeterminado"/>
        <w:spacing w:line="360" w:lineRule="auto"/>
        <w:ind w:firstLine="720"/>
        <w:jc w:val="both"/>
      </w:pPr>
      <w:r>
        <w:rPr>
          <w:color w:val="000000"/>
          <w:sz w:val="22"/>
          <w:lang w:val="es-AR"/>
        </w:rPr>
        <w:t>Las plantas son dominantes en muchos de nuestros ecosistemas y gran parte de la adaptación de las mismas al medio dependen</w:t>
      </w:r>
      <w:r>
        <w:rPr>
          <w:color w:val="000000"/>
          <w:sz w:val="22"/>
          <w:lang w:val="es-AR"/>
        </w:rPr>
        <w:t xml:space="preserve"> de la evolución y diversidad de sus paredes celulares (Albersheim 2011). Cuando las plantas se ven afectadas por situaciones desfavorables para su desarrollo producidas por condiciones de estrés abiótico o biótico, retardan su crecimiento y su productivid</w:t>
      </w:r>
      <w:r>
        <w:rPr>
          <w:color w:val="000000"/>
          <w:sz w:val="22"/>
          <w:lang w:val="es-AR"/>
        </w:rPr>
        <w:t>ad. El metabolismo vegetal se ve perturbado, ya sea por inhibición de enzimas metabólicas, menor cantidad de sustratos, demanda excesiva de ciertos compuestos metabólicos o por una combinación de todos estos factores. Las plantas han desarrollado estrategi</w:t>
      </w:r>
      <w:r>
        <w:rPr>
          <w:color w:val="000000"/>
          <w:sz w:val="22"/>
          <w:lang w:val="es-AR"/>
        </w:rPr>
        <w:t>as anatómicas y químicas para resistir estas adversidades (Striker et al. 2011; Obata 2012; Krauss et al. 2014). A diferencia de los animales, las respuestas inmunológicas de las plantas frente a los distintos tipos de estrés se basan en la respuesta de ca</w:t>
      </w:r>
      <w:r>
        <w:rPr>
          <w:color w:val="000000"/>
          <w:sz w:val="22"/>
          <w:lang w:val="es-AR"/>
        </w:rPr>
        <w:t>da célula y señales sistémicas emanadas de los sitios afectados (Dangl 2001; Ausubel 2005; Jones 2006). Gran parte de estas resistencias se deben a sus paredes celulares, cuya función es dar forma, rigidez, resistencia mecánica y protección frente a organi</w:t>
      </w:r>
      <w:r>
        <w:rPr>
          <w:color w:val="000000"/>
          <w:sz w:val="22"/>
          <w:lang w:val="es-AR"/>
        </w:rPr>
        <w:t xml:space="preserve">smos patógenos, depredadores y adversidades medioambientales. </w:t>
      </w:r>
      <w:r>
        <w:rPr>
          <w:color w:val="000000"/>
          <w:sz w:val="22"/>
          <w:lang w:val="es-ES"/>
        </w:rPr>
        <w:t xml:space="preserve">Las paredes celulares de las plantas se comportan como una matriz químicamente dinámica </w:t>
      </w:r>
      <w:r>
        <w:rPr>
          <w:color w:val="000000"/>
          <w:sz w:val="22"/>
          <w:lang w:val="es-AR"/>
        </w:rPr>
        <w:t xml:space="preserve">(Somerville et al. 2004, Kesten et al. 2017). Por otra parte, las características químicas de las paredes </w:t>
      </w:r>
      <w:r>
        <w:rPr>
          <w:color w:val="000000"/>
          <w:sz w:val="22"/>
          <w:lang w:val="es-AR"/>
        </w:rPr>
        <w:t>celulares determinan la digestibilidad de las hojas y tallos, y son un aspecto fundamental de la calidad de las plantas como forrajes (Minson 1990; Van Soest, 1994; Hayashi et al. 2005), tanto en su utilización como fuente de energía (por fermentacón), fib</w:t>
      </w:r>
      <w:r>
        <w:rPr>
          <w:color w:val="000000"/>
          <w:sz w:val="22"/>
          <w:lang w:val="es-AR"/>
        </w:rPr>
        <w:t xml:space="preserve">ra efectiva o incentivador del proceso de rumia, como por el estímulo del peristaltismo y del pasaje de alimentos por el tracto digestivo (Bondi 1988). </w:t>
      </w:r>
    </w:p>
    <w:p w14:paraId="5C6CBAA8" w14:textId="77777777" w:rsidR="00000000" w:rsidRDefault="00AA47AD">
      <w:pPr>
        <w:pStyle w:val="Predeterminado"/>
        <w:spacing w:line="360" w:lineRule="auto"/>
        <w:jc w:val="both"/>
      </w:pPr>
      <w:r>
        <w:rPr>
          <w:color w:val="000000"/>
          <w:sz w:val="22"/>
          <w:lang w:val="es-AR"/>
        </w:rPr>
        <w:tab/>
        <w:t>Dentro de las plantas, las leguminosas o fabáceas pertenecen a la segunda familia en importancia, desp</w:t>
      </w:r>
      <w:r>
        <w:rPr>
          <w:color w:val="000000"/>
          <w:sz w:val="22"/>
          <w:lang w:val="es-AR"/>
        </w:rPr>
        <w:t xml:space="preserve">ués de las gramíneas o poáceas. Proveen el mayor aporte proteico vegetal en las dietas, tanto para el hombre, como para los animales en pastoreo (Graham &amp; Vance 2003; Dita et al. 2006). </w:t>
      </w:r>
      <w:r>
        <w:rPr>
          <w:i/>
          <w:color w:val="000000"/>
          <w:sz w:val="22"/>
          <w:lang w:val="es-AR"/>
        </w:rPr>
        <w:t>Lotus tenuis</w:t>
      </w:r>
      <w:r>
        <w:rPr>
          <w:color w:val="000000"/>
          <w:sz w:val="22"/>
          <w:lang w:val="es-AR"/>
        </w:rPr>
        <w:t xml:space="preserve"> es una leguminosa herbácea perenne, vulgarmente conocida </w:t>
      </w:r>
      <w:r>
        <w:rPr>
          <w:color w:val="000000"/>
          <w:sz w:val="22"/>
          <w:lang w:val="es-AR"/>
        </w:rPr>
        <w:t>como lotus, trébol pata de pájaro o lotus de hoja angosta. Su ciclo de producción forrajera es primavero-estivo-otoñal, y es muy importante en la región de la Pampa Deprimida o Cuenca del Salado en la provincia de Buenos Aires como resultado de su amplia p</w:t>
      </w:r>
      <w:r>
        <w:rPr>
          <w:color w:val="000000"/>
          <w:sz w:val="22"/>
          <w:lang w:val="es-AR"/>
        </w:rPr>
        <w:t>lasticidad de desarrollo en distintas condiciones de estrés salino, encharcamiento y herbivoría.</w:t>
      </w:r>
    </w:p>
    <w:p w14:paraId="5241B245" w14:textId="77777777" w:rsidR="00000000" w:rsidRDefault="00AA47AD">
      <w:pPr>
        <w:pStyle w:val="Predeterminado"/>
        <w:tabs>
          <w:tab w:val="left" w:pos="360"/>
        </w:tabs>
        <w:spacing w:line="360" w:lineRule="auto"/>
        <w:ind w:right="-6"/>
        <w:jc w:val="both"/>
      </w:pPr>
      <w:r>
        <w:rPr>
          <w:color w:val="000000"/>
          <w:sz w:val="22"/>
          <w:lang w:val="es-AR"/>
        </w:rPr>
        <w:lastRenderedPageBreak/>
        <w:tab/>
      </w:r>
      <w:r>
        <w:rPr>
          <w:color w:val="000000"/>
          <w:sz w:val="22"/>
          <w:lang w:val="es-AR"/>
        </w:rPr>
        <w:tab/>
        <w:t>Las paredes celulares de varias especies de leguminosas, como arveja, garbanzo, poroto, haba, alfalfa y soja, ya han sido estudiadas debido a su gran importa</w:t>
      </w:r>
      <w:r>
        <w:rPr>
          <w:color w:val="000000"/>
          <w:sz w:val="22"/>
          <w:lang w:val="es-AR"/>
        </w:rPr>
        <w:t>ncia económica (Albersheim 2011). En particular, en la pared celular de estas plantas se pueden distinguir dos dominios de polisacáridos: a-un dominio fibrilar, en el que predomina la celulosa, cuyas microfibrillas pueden estar interconectadas entre sí por</w:t>
      </w:r>
      <w:r>
        <w:rPr>
          <w:color w:val="000000"/>
          <w:sz w:val="22"/>
          <w:lang w:val="es-AR"/>
        </w:rPr>
        <w:t xml:space="preserve"> diferentes tipos de hemicelulosas y b-un segundo dominio formado por polisacáridos amorfos con gran capacidad de retención de agua, las pectinas (Painter 1983; Buchanan 2000). </w:t>
      </w:r>
    </w:p>
    <w:p w14:paraId="3D60E8D8" w14:textId="77777777" w:rsidR="00000000" w:rsidRDefault="00AA47AD">
      <w:pPr>
        <w:pStyle w:val="Predeterminado"/>
        <w:tabs>
          <w:tab w:val="left" w:pos="360"/>
        </w:tabs>
        <w:spacing w:line="360" w:lineRule="auto"/>
        <w:ind w:right="-6"/>
        <w:jc w:val="both"/>
      </w:pPr>
      <w:r>
        <w:rPr>
          <w:color w:val="000000"/>
          <w:sz w:val="22"/>
          <w:lang w:val="es-AR"/>
        </w:rPr>
        <w:t>La celulosa es un polisacárido componente estructural clave de las paredes cel</w:t>
      </w:r>
      <w:r>
        <w:rPr>
          <w:color w:val="000000"/>
          <w:sz w:val="22"/>
          <w:lang w:val="es-AR"/>
        </w:rPr>
        <w:t xml:space="preserve">ulares vegetales. Es muy estable y completamente insoluble en soluciones acuosas. Respecto a su composición y enlaces, su estructura es simple. Está formada por cadenas lineales de </w:t>
      </w:r>
      <w:r>
        <w:rPr>
          <w:color w:val="000000"/>
          <w:sz w:val="22"/>
          <w:lang w:val="es-AR"/>
        </w:rPr>
        <w:t>β</w:t>
      </w:r>
      <w:r>
        <w:rPr>
          <w:color w:val="000000"/>
          <w:sz w:val="22"/>
          <w:lang w:val="es-AR"/>
        </w:rPr>
        <w:t xml:space="preserve">-1,4-glucanos. El tipo de unión </w:t>
      </w:r>
      <w:r>
        <w:rPr>
          <w:color w:val="000000"/>
          <w:sz w:val="22"/>
          <w:lang w:val="es-AR"/>
        </w:rPr>
        <w:t>β</w:t>
      </w:r>
      <w:r>
        <w:rPr>
          <w:color w:val="000000"/>
          <w:sz w:val="22"/>
          <w:lang w:val="es-AR"/>
        </w:rPr>
        <w:t>-1,4 determina que alternadamente una uni</w:t>
      </w:r>
      <w:r>
        <w:rPr>
          <w:color w:val="000000"/>
          <w:sz w:val="22"/>
          <w:lang w:val="es-AR"/>
        </w:rPr>
        <w:t>dad de glucosa esté girada 180</w:t>
      </w:r>
      <w:r>
        <w:rPr>
          <w:rFonts w:hAnsi="Helvetica Neue"/>
          <w:color w:val="000000"/>
          <w:sz w:val="22"/>
          <w:lang w:val="es-AR"/>
        </w:rPr>
        <w:t>º</w:t>
      </w:r>
      <w:r>
        <w:rPr>
          <w:color w:val="000000"/>
          <w:sz w:val="22"/>
          <w:lang w:val="es-AR"/>
        </w:rPr>
        <w:t xml:space="preserve"> respecto a la anterior dando una estructura disacárídica repetitiva, la celobiosa. Estas cadenas lineales se unen por uniones puente de hidrogeno en forma intra- e inter-molecular, permitiendo la cristalización y la formació</w:t>
      </w:r>
      <w:r>
        <w:rPr>
          <w:color w:val="000000"/>
          <w:sz w:val="22"/>
          <w:lang w:val="es-AR"/>
        </w:rPr>
        <w:t>n de microfibrillas de 3 a 5 nm de diámetro. Estas uniones puente de hidrógeno aportan rigidez y resistencia a las microfibrillas de celulosa, tan importantes para la función de sostén, defensa y estructural que aporta este compuesto a la pared celular veg</w:t>
      </w:r>
      <w:r>
        <w:rPr>
          <w:color w:val="000000"/>
          <w:sz w:val="22"/>
          <w:lang w:val="es-AR"/>
        </w:rPr>
        <w:t>etal. Durante la formación de las paredes secundarias, el contenido de celulosa puede incrementarse desde un 20-30% hasta un 50% del peso seco de la pared celular vegetal (Albersheim et al. 2011, Braidwood et al. 2013).</w:t>
      </w:r>
    </w:p>
    <w:p w14:paraId="49D16FE6" w14:textId="77777777" w:rsidR="00000000" w:rsidRDefault="00AA47AD">
      <w:pPr>
        <w:pStyle w:val="Predeterminado"/>
        <w:tabs>
          <w:tab w:val="left" w:pos="360"/>
        </w:tabs>
        <w:spacing w:line="360" w:lineRule="auto"/>
        <w:ind w:right="-6"/>
        <w:jc w:val="both"/>
      </w:pPr>
      <w:r>
        <w:rPr>
          <w:color w:val="000000"/>
          <w:sz w:val="22"/>
          <w:lang w:val="es-AR"/>
        </w:rPr>
        <w:pict w14:anchorId="1D900559">
          <v:shape id="" o:spid="_x0000_i1028" type="#_x0000_t75" alt="" style="width:293.25pt;height:72.75pt">
            <v:imagedata r:id="rId8" o:title=""/>
          </v:shape>
        </w:pict>
      </w:r>
    </w:p>
    <w:p w14:paraId="02BEA4B3" w14:textId="77777777" w:rsidR="00000000" w:rsidRDefault="00AA47AD">
      <w:pPr>
        <w:pStyle w:val="Predeterminado"/>
        <w:tabs>
          <w:tab w:val="left" w:pos="360"/>
        </w:tabs>
        <w:spacing w:line="360" w:lineRule="auto"/>
        <w:ind w:right="-6"/>
        <w:jc w:val="both"/>
      </w:pPr>
      <w:r>
        <w:rPr>
          <w:color w:val="000000"/>
          <w:sz w:val="22"/>
          <w:lang w:val="es-AR"/>
        </w:rPr>
        <w:tab/>
        <w:t>Figura 1: Estructura de una cadena de celulosa</w:t>
      </w:r>
    </w:p>
    <w:p w14:paraId="66C107D8" w14:textId="77777777" w:rsidR="00000000" w:rsidRDefault="00AA47AD">
      <w:pPr>
        <w:pStyle w:val="Predeterminado"/>
        <w:tabs>
          <w:tab w:val="left" w:pos="360"/>
        </w:tabs>
        <w:spacing w:line="360" w:lineRule="auto"/>
        <w:ind w:right="-6"/>
        <w:jc w:val="both"/>
      </w:pPr>
      <w:r>
        <w:rPr>
          <w:color w:val="000000"/>
          <w:sz w:val="22"/>
          <w:lang w:val="es-AR"/>
        </w:rPr>
        <w:tab/>
      </w:r>
    </w:p>
    <w:p w14:paraId="1656D8BE" w14:textId="77777777" w:rsidR="00000000" w:rsidRDefault="00AA47AD">
      <w:pPr>
        <w:pStyle w:val="Predeterminado"/>
        <w:tabs>
          <w:tab w:val="left" w:pos="360"/>
        </w:tabs>
        <w:spacing w:line="360" w:lineRule="auto"/>
        <w:ind w:right="-6"/>
        <w:jc w:val="both"/>
      </w:pPr>
      <w:r>
        <w:rPr>
          <w:color w:val="000000"/>
          <w:sz w:val="22"/>
          <w:lang w:val="es-AR"/>
        </w:rPr>
        <w:tab/>
      </w:r>
      <w:r>
        <w:rPr>
          <w:color w:val="000000"/>
          <w:sz w:val="22"/>
          <w:lang w:val="es-AR"/>
        </w:rPr>
        <w:tab/>
        <w:t xml:space="preserve">Las hemicelulosas características de las paredes primarias de dicotiledóneas, como </w:t>
      </w:r>
      <w:r>
        <w:rPr>
          <w:i/>
          <w:color w:val="000000"/>
          <w:sz w:val="22"/>
          <w:lang w:val="es-AR"/>
        </w:rPr>
        <w:t>Lotus tenuis</w:t>
      </w:r>
      <w:r>
        <w:rPr>
          <w:color w:val="000000"/>
          <w:sz w:val="22"/>
          <w:lang w:val="es-AR"/>
        </w:rPr>
        <w:t xml:space="preserve"> son los xiloglucanos, polímeros formados por cadenas lineales de </w:t>
      </w:r>
      <w:r>
        <w:rPr>
          <w:rFonts w:ascii="Symbol"/>
          <w:color w:val="000000"/>
          <w:sz w:val="22"/>
          <w:lang w:val="es-AR"/>
        </w:rPr>
        <w:t></w:t>
      </w:r>
      <w:r>
        <w:rPr>
          <w:color w:val="000000"/>
          <w:sz w:val="22"/>
          <w:lang w:val="es-AR"/>
        </w:rPr>
        <w:t>-D-glucopiranosa enlazada por la posició</w:t>
      </w:r>
      <w:r>
        <w:rPr>
          <w:color w:val="000000"/>
          <w:sz w:val="22"/>
          <w:lang w:val="es-AR"/>
        </w:rPr>
        <w:t xml:space="preserve">n 4, con cadenas laterales de ramificaciones simples de </w:t>
      </w:r>
      <w:r>
        <w:rPr>
          <w:rFonts w:ascii="Symbol"/>
          <w:color w:val="000000"/>
          <w:sz w:val="22"/>
          <w:lang w:val="es-AR"/>
        </w:rPr>
        <w:t></w:t>
      </w:r>
      <w:r>
        <w:rPr>
          <w:color w:val="000000"/>
          <w:sz w:val="22"/>
          <w:lang w:val="es-AR"/>
        </w:rPr>
        <w:t xml:space="preserve">-D-xilopiranosa que se une a la cadena principal por el C-6 de algunas de las unidades de glucosa. A esta estructura básica se unen diferentes cantidades de otros azúcares, como </w:t>
      </w:r>
      <w:r>
        <w:rPr>
          <w:rFonts w:ascii="Symbol"/>
          <w:color w:val="000000"/>
          <w:sz w:val="22"/>
          <w:lang w:val="es-AR"/>
        </w:rPr>
        <w:t></w:t>
      </w:r>
      <w:r>
        <w:rPr>
          <w:color w:val="000000"/>
          <w:sz w:val="22"/>
          <w:lang w:val="es-AR"/>
        </w:rPr>
        <w:t>-D-galactopiranosa u</w:t>
      </w:r>
      <w:r>
        <w:rPr>
          <w:color w:val="000000"/>
          <w:sz w:val="22"/>
          <w:lang w:val="es-AR"/>
        </w:rPr>
        <w:t xml:space="preserve">nida a C-2 de algunas de las unidades de xilosa, </w:t>
      </w:r>
      <w:r>
        <w:rPr>
          <w:rFonts w:ascii="Symbol"/>
          <w:color w:val="000000"/>
          <w:sz w:val="22"/>
          <w:lang w:val="es-AR"/>
        </w:rPr>
        <w:t></w:t>
      </w:r>
      <w:r>
        <w:rPr>
          <w:color w:val="000000"/>
          <w:sz w:val="22"/>
          <w:lang w:val="es-AR"/>
        </w:rPr>
        <w:t xml:space="preserve">-L-arabinofuranosa enlazada a C-2 de unidades de glucosa y </w:t>
      </w:r>
      <w:r>
        <w:rPr>
          <w:rFonts w:ascii="Symbol"/>
          <w:color w:val="000000"/>
          <w:sz w:val="22"/>
          <w:lang w:val="es-AR"/>
        </w:rPr>
        <w:t></w:t>
      </w:r>
      <w:r>
        <w:rPr>
          <w:color w:val="000000"/>
          <w:sz w:val="22"/>
          <w:lang w:val="es-AR"/>
        </w:rPr>
        <w:t xml:space="preserve">-L-fucopiranosa unida a C-2 de la galactosa. Aproximadamente, constituyen un 30% de las paredes celulares primarias. </w:t>
      </w:r>
    </w:p>
    <w:p w14:paraId="1CC5B164" w14:textId="77777777" w:rsidR="00000000" w:rsidRDefault="00AA47AD">
      <w:pPr>
        <w:pStyle w:val="Predeterminado"/>
        <w:tabs>
          <w:tab w:val="left" w:pos="360"/>
        </w:tabs>
        <w:spacing w:line="360" w:lineRule="auto"/>
        <w:ind w:right="-6"/>
        <w:jc w:val="both"/>
      </w:pPr>
      <w:r>
        <w:rPr>
          <w:color w:val="000000"/>
          <w:sz w:val="22"/>
          <w:lang w:val="es-AR"/>
        </w:rPr>
        <w:lastRenderedPageBreak/>
        <w:pict w14:anchorId="3929F722">
          <v:shape id="" o:spid="_x0000_i1029" type="#_x0000_t75" alt="" style="width:309.75pt;height:119.25pt">
            <v:imagedata r:id="rId9" o:title=""/>
          </v:shape>
        </w:pict>
      </w:r>
    </w:p>
    <w:p w14:paraId="6732FDED" w14:textId="77777777" w:rsidR="00000000" w:rsidRDefault="00AA47AD">
      <w:pPr>
        <w:pStyle w:val="Predeterminado"/>
        <w:tabs>
          <w:tab w:val="left" w:pos="360"/>
        </w:tabs>
        <w:spacing w:line="360" w:lineRule="auto"/>
        <w:ind w:right="-6"/>
        <w:jc w:val="both"/>
      </w:pPr>
      <w:r>
        <w:rPr>
          <w:color w:val="000000"/>
          <w:sz w:val="22"/>
          <w:lang w:val="es-AR"/>
        </w:rPr>
        <w:tab/>
        <w:t xml:space="preserve">Figura 2: Estructura de un xiloglucano, con detalle de la cadena principal formada por D-glucosa unidas  </w:t>
      </w:r>
      <w:r>
        <w:rPr>
          <w:rFonts w:ascii="Symbol"/>
          <w:color w:val="000000"/>
          <w:sz w:val="22"/>
          <w:lang w:val="es-AR"/>
        </w:rPr>
        <w:t></w:t>
      </w:r>
      <w:r>
        <w:rPr>
          <w:color w:val="000000"/>
          <w:sz w:val="22"/>
          <w:lang w:val="es-AR"/>
        </w:rPr>
        <w:t xml:space="preserve">-1,4 con ramificaciones de D-xilosa </w:t>
      </w:r>
      <w:r>
        <w:rPr>
          <w:rFonts w:ascii="Symbol"/>
          <w:color w:val="000000"/>
          <w:sz w:val="22"/>
          <w:lang w:val="es-AR"/>
        </w:rPr>
        <w:t></w:t>
      </w:r>
      <w:r>
        <w:rPr>
          <w:color w:val="000000"/>
          <w:sz w:val="22"/>
          <w:lang w:val="es-AR"/>
        </w:rPr>
        <w:t>-1,6</w:t>
      </w:r>
    </w:p>
    <w:p w14:paraId="2A445A92" w14:textId="77777777" w:rsidR="00000000" w:rsidRDefault="00AA47AD">
      <w:pPr>
        <w:pStyle w:val="Predeterminado"/>
        <w:tabs>
          <w:tab w:val="left" w:pos="360"/>
        </w:tabs>
        <w:spacing w:line="360" w:lineRule="auto"/>
        <w:ind w:right="-6"/>
        <w:jc w:val="both"/>
      </w:pPr>
      <w:r>
        <w:rPr>
          <w:color w:val="000000"/>
          <w:sz w:val="22"/>
          <w:lang w:val="es-AR"/>
        </w:rPr>
        <w:tab/>
      </w:r>
    </w:p>
    <w:p w14:paraId="1B5354FB" w14:textId="77777777" w:rsidR="00000000" w:rsidRDefault="00AA47AD">
      <w:pPr>
        <w:pStyle w:val="Predeterminado"/>
        <w:tabs>
          <w:tab w:val="left" w:pos="360"/>
        </w:tabs>
        <w:spacing w:line="360" w:lineRule="auto"/>
        <w:ind w:right="-6"/>
        <w:jc w:val="both"/>
      </w:pPr>
      <w:r>
        <w:rPr>
          <w:color w:val="000000"/>
          <w:sz w:val="22"/>
          <w:lang w:val="es-AR"/>
        </w:rPr>
        <w:tab/>
      </w:r>
      <w:r>
        <w:rPr>
          <w:color w:val="000000"/>
          <w:sz w:val="22"/>
          <w:lang w:val="es-AR"/>
        </w:rPr>
        <w:tab/>
        <w:t>Por otra parte, las hemicelulosas predominantes en las paredes secundarias de dicotiledóneas so</w:t>
      </w:r>
      <w:r>
        <w:rPr>
          <w:color w:val="000000"/>
          <w:sz w:val="22"/>
          <w:lang w:val="es-AR"/>
        </w:rPr>
        <w:t>n los glucuronoxilanos y los glucomananos. Los glucuronoxilanos tienen cadenas laterales de ácido 4-</w:t>
      </w:r>
      <w:r>
        <w:rPr>
          <w:i/>
          <w:color w:val="000000"/>
          <w:sz w:val="22"/>
          <w:lang w:val="es-AR"/>
        </w:rPr>
        <w:t>O</w:t>
      </w:r>
      <w:r>
        <w:rPr>
          <w:color w:val="000000"/>
          <w:sz w:val="22"/>
          <w:lang w:val="es-AR"/>
        </w:rPr>
        <w:t>-metil-</w:t>
      </w:r>
      <w:r>
        <w:rPr>
          <w:color w:val="000000"/>
          <w:sz w:val="22"/>
          <w:lang w:val="es-AR"/>
        </w:rPr>
        <w:t>α</w:t>
      </w:r>
      <w:r>
        <w:rPr>
          <w:color w:val="000000"/>
          <w:sz w:val="22"/>
          <w:lang w:val="es-AR"/>
        </w:rPr>
        <w:t>-D-glucurónico unido a C-2 de 1 cada 10 unidades de xilosa, en promedio. Este xilano presenta un alto grado de acetilación en C-2 y/o C-3 de las un</w:t>
      </w:r>
      <w:r>
        <w:rPr>
          <w:color w:val="000000"/>
          <w:sz w:val="22"/>
          <w:lang w:val="es-AR"/>
        </w:rPr>
        <w:t xml:space="preserve">idades de xilosa. Los glucomananos se encuentran en menor proporción y son polímeros lineales formados por unidades de </w:t>
      </w:r>
      <w:r>
        <w:rPr>
          <w:color w:val="000000"/>
          <w:sz w:val="22"/>
          <w:lang w:val="es-AR"/>
        </w:rPr>
        <w:t>β</w:t>
      </w:r>
      <w:r>
        <w:rPr>
          <w:color w:val="000000"/>
          <w:sz w:val="22"/>
          <w:lang w:val="es-AR"/>
        </w:rPr>
        <w:t xml:space="preserve">-D-manopiranosa y </w:t>
      </w:r>
      <w:r>
        <w:rPr>
          <w:color w:val="000000"/>
          <w:sz w:val="22"/>
          <w:lang w:val="es-AR"/>
        </w:rPr>
        <w:t>β</w:t>
      </w:r>
      <w:r>
        <w:rPr>
          <w:color w:val="000000"/>
          <w:sz w:val="22"/>
          <w:lang w:val="es-AR"/>
        </w:rPr>
        <w:t>-D-glucopiranosa en una relación que puede variar de 1:1 a 2:1.</w:t>
      </w:r>
    </w:p>
    <w:p w14:paraId="66EFCEAA" w14:textId="77777777" w:rsidR="00000000" w:rsidRDefault="00AA47AD">
      <w:pPr>
        <w:pStyle w:val="Predeterminado"/>
        <w:tabs>
          <w:tab w:val="left" w:pos="360"/>
        </w:tabs>
        <w:spacing w:line="360" w:lineRule="auto"/>
        <w:ind w:right="-6"/>
        <w:jc w:val="both"/>
      </w:pPr>
      <w:r>
        <w:rPr>
          <w:color w:val="000000"/>
          <w:sz w:val="22"/>
          <w:lang w:val="es-AR"/>
        </w:rPr>
        <w:t xml:space="preserve"> </w:t>
      </w:r>
      <w:r>
        <w:rPr>
          <w:color w:val="000000"/>
          <w:sz w:val="22"/>
          <w:lang w:val="es-AR"/>
        </w:rPr>
        <w:tab/>
      </w:r>
      <w:r>
        <w:rPr>
          <w:color w:val="000000"/>
          <w:sz w:val="22"/>
          <w:lang w:val="es-AR"/>
        </w:rPr>
        <w:tab/>
        <w:t>El otro grupo importante de polisacáridos de las p</w:t>
      </w:r>
      <w:r>
        <w:rPr>
          <w:color w:val="000000"/>
          <w:sz w:val="22"/>
          <w:lang w:val="es-AR"/>
        </w:rPr>
        <w:t xml:space="preserve">aredes celulares lo constituyen las pectinas, un grupo de polisacáridos con alta proporción de ácido </w:t>
      </w:r>
      <w:r>
        <w:rPr>
          <w:color w:val="000000"/>
          <w:sz w:val="22"/>
          <w:lang w:val="es-AR"/>
        </w:rPr>
        <w:t>α</w:t>
      </w:r>
      <w:r>
        <w:rPr>
          <w:color w:val="000000"/>
          <w:sz w:val="22"/>
          <w:lang w:val="es-AR"/>
        </w:rPr>
        <w:t>-D-galacturónico, de estructuras sumamente complejas. Se distinguen en este grupo el homogalacturonano, estructuralmente el más sencillo, formado por unid</w:t>
      </w:r>
      <w:r>
        <w:rPr>
          <w:color w:val="000000"/>
          <w:sz w:val="22"/>
          <w:lang w:val="es-AR"/>
        </w:rPr>
        <w:t xml:space="preserve">ades de ácido D-galacturónico enlazadas por uniones </w:t>
      </w:r>
      <w:r>
        <w:rPr>
          <w:rFonts w:ascii="Symbol"/>
          <w:color w:val="000000"/>
          <w:sz w:val="22"/>
          <w:lang w:val="es-AR"/>
        </w:rPr>
        <w:t></w:t>
      </w:r>
      <w:r>
        <w:rPr>
          <w:color w:val="000000"/>
          <w:sz w:val="22"/>
          <w:lang w:val="es-AR"/>
        </w:rPr>
        <w:t>-1,4. Diferentes proporciones de los grupos carboxilo de los mismos pueden formar ésteres metílicos y esta sustitución regula la formación de geles por interacción con iones Ca</w:t>
      </w:r>
      <w:r>
        <w:rPr>
          <w:color w:val="000000"/>
          <w:position w:val="10"/>
          <w:sz w:val="22"/>
          <w:lang w:val="es-AR"/>
        </w:rPr>
        <w:t>++</w:t>
      </w:r>
      <w:r>
        <w:rPr>
          <w:color w:val="000000"/>
          <w:sz w:val="22"/>
          <w:lang w:val="es-AR"/>
        </w:rPr>
        <w:t xml:space="preserve"> que da este polímero, co</w:t>
      </w:r>
      <w:r>
        <w:rPr>
          <w:color w:val="000000"/>
          <w:sz w:val="22"/>
          <w:lang w:val="es-AR"/>
        </w:rPr>
        <w:t xml:space="preserve">ntribuyendo a la regulación del tamaño de los poros de la pared celular. </w:t>
      </w:r>
    </w:p>
    <w:p w14:paraId="18D8336A" w14:textId="77777777" w:rsidR="00000000" w:rsidRDefault="00AA47AD">
      <w:pPr>
        <w:pStyle w:val="Predeterminado"/>
        <w:tabs>
          <w:tab w:val="left" w:pos="360"/>
        </w:tabs>
        <w:spacing w:line="360" w:lineRule="auto"/>
        <w:ind w:right="-6"/>
        <w:jc w:val="both"/>
      </w:pPr>
      <w:r>
        <w:rPr>
          <w:color w:val="000000"/>
          <w:sz w:val="22"/>
          <w:lang w:val="es-AR"/>
        </w:rPr>
        <w:pict w14:anchorId="19FA97FD">
          <v:shape id="" o:spid="_x0000_i1030" type="#_x0000_t75" alt="" style="width:233.25pt;height:126.75pt">
            <v:imagedata r:id="rId10" o:title=""/>
          </v:shape>
        </w:pict>
      </w:r>
    </w:p>
    <w:p w14:paraId="39393350" w14:textId="77777777" w:rsidR="00000000" w:rsidRDefault="00AA47AD">
      <w:pPr>
        <w:pStyle w:val="Predeterminado"/>
        <w:tabs>
          <w:tab w:val="left" w:pos="360"/>
        </w:tabs>
        <w:spacing w:line="360" w:lineRule="auto"/>
        <w:ind w:right="-6"/>
        <w:jc w:val="both"/>
      </w:pPr>
      <w:r>
        <w:rPr>
          <w:color w:val="000000"/>
          <w:sz w:val="22"/>
          <w:lang w:val="es-AR"/>
        </w:rPr>
        <w:t>Figura 3: Estructura de pectina. Homogalacturonano</w:t>
      </w:r>
    </w:p>
    <w:p w14:paraId="62725AAE" w14:textId="77777777" w:rsidR="00000000" w:rsidRDefault="00AA47AD">
      <w:pPr>
        <w:pStyle w:val="Predeterminado"/>
        <w:tabs>
          <w:tab w:val="left" w:pos="360"/>
        </w:tabs>
        <w:spacing w:line="360" w:lineRule="auto"/>
        <w:ind w:right="-6"/>
        <w:jc w:val="both"/>
      </w:pPr>
    </w:p>
    <w:p w14:paraId="580D9E26" w14:textId="77777777" w:rsidR="00000000" w:rsidRDefault="00AA47AD">
      <w:pPr>
        <w:pStyle w:val="Predeterminado"/>
        <w:tabs>
          <w:tab w:val="left" w:pos="360"/>
        </w:tabs>
        <w:spacing w:line="360" w:lineRule="auto"/>
        <w:ind w:right="-6"/>
        <w:jc w:val="both"/>
      </w:pPr>
      <w:r>
        <w:rPr>
          <w:color w:val="000000"/>
          <w:sz w:val="22"/>
          <w:lang w:val="es-AR"/>
        </w:rPr>
        <w:tab/>
      </w:r>
      <w:r>
        <w:rPr>
          <w:color w:val="000000"/>
          <w:sz w:val="22"/>
          <w:lang w:val="es-AR"/>
        </w:rPr>
        <w:tab/>
        <w:t>Existen diferentes homogalacturonanos modificados, como los xilogalacturonanos y los ramnoga</w:t>
      </w:r>
      <w:r>
        <w:rPr>
          <w:color w:val="000000"/>
          <w:sz w:val="22"/>
          <w:lang w:val="es-AR"/>
        </w:rPr>
        <w:t xml:space="preserve">lacturonanos II (los polisacáridos más complejos existentes en la naturaleza). Por otro lado, el ramnogalacturonano I está formado por unidades </w:t>
      </w:r>
      <w:r>
        <w:rPr>
          <w:color w:val="000000"/>
          <w:sz w:val="22"/>
          <w:lang w:val="es-AR"/>
        </w:rPr>
        <w:lastRenderedPageBreak/>
        <w:t xml:space="preserve">alternantes de ácido </w:t>
      </w:r>
      <w:r>
        <w:rPr>
          <w:color w:val="000000"/>
          <w:sz w:val="22"/>
          <w:lang w:val="es-AR"/>
        </w:rPr>
        <w:t>α</w:t>
      </w:r>
      <w:r>
        <w:rPr>
          <w:color w:val="000000"/>
          <w:sz w:val="22"/>
          <w:lang w:val="es-AR"/>
        </w:rPr>
        <w:t xml:space="preserve">-D-galacturónico enlazadas por C-4 y </w:t>
      </w:r>
      <w:r>
        <w:rPr>
          <w:rFonts w:ascii="Symbol"/>
          <w:color w:val="000000"/>
          <w:sz w:val="22"/>
          <w:lang w:val="es-AR"/>
        </w:rPr>
        <w:t></w:t>
      </w:r>
      <w:r>
        <w:rPr>
          <w:color w:val="000000"/>
          <w:sz w:val="22"/>
          <w:lang w:val="es-AR"/>
        </w:rPr>
        <w:t>-L-ramnopiranosa enlazadas por C-2. A esta cadena pu</w:t>
      </w:r>
      <w:r>
        <w:rPr>
          <w:color w:val="000000"/>
          <w:sz w:val="22"/>
          <w:lang w:val="es-AR"/>
        </w:rPr>
        <w:t>eden unirse cadenas laterales de arabinanos, galactanos o arabinogalactanos (Bar-Peled et al. 2012).</w:t>
      </w:r>
    </w:p>
    <w:p w14:paraId="1D7908F3" w14:textId="77777777" w:rsidR="00000000" w:rsidRDefault="00AA47AD">
      <w:pPr>
        <w:pStyle w:val="Predeterminado"/>
        <w:tabs>
          <w:tab w:val="left" w:pos="360"/>
        </w:tabs>
        <w:spacing w:line="360" w:lineRule="auto"/>
        <w:ind w:right="-6"/>
        <w:jc w:val="both"/>
      </w:pPr>
    </w:p>
    <w:p w14:paraId="47591065" w14:textId="77777777" w:rsidR="00000000" w:rsidRDefault="00AA47AD">
      <w:pPr>
        <w:pStyle w:val="Predeterminado"/>
        <w:tabs>
          <w:tab w:val="left" w:pos="360"/>
        </w:tabs>
        <w:spacing w:line="360" w:lineRule="auto"/>
        <w:ind w:right="-6"/>
        <w:jc w:val="both"/>
      </w:pPr>
      <w:r>
        <w:rPr>
          <w:color w:val="000000"/>
          <w:sz w:val="22"/>
          <w:lang w:val="es-AR"/>
        </w:rPr>
        <w:pict w14:anchorId="3DA58713">
          <v:shape id="" o:spid="_x0000_i1031" type="#_x0000_t75" alt="" style="width:224.25pt;height:145.5pt">
            <v:imagedata r:id="rId11" o:title=""/>
          </v:shape>
        </w:pict>
      </w:r>
      <w:r>
        <w:rPr>
          <w:color w:val="000000"/>
          <w:sz w:val="22"/>
          <w:lang w:val="es-AR"/>
        </w:rPr>
        <w:pict w14:anchorId="123BA64B">
          <v:shape id="" o:spid="_x0000_i1032" type="#_x0000_t75" alt="" style="width:193.5pt;height:122.25pt">
            <v:imagedata r:id="rId12" o:title=""/>
          </v:shape>
        </w:pict>
      </w:r>
    </w:p>
    <w:p w14:paraId="3ED6BC6C" w14:textId="77777777" w:rsidR="00000000" w:rsidRDefault="00AA47AD">
      <w:pPr>
        <w:pStyle w:val="Predeterminado"/>
        <w:tabs>
          <w:tab w:val="left" w:pos="360"/>
        </w:tabs>
        <w:spacing w:line="360" w:lineRule="auto"/>
        <w:ind w:right="-6"/>
        <w:jc w:val="both"/>
      </w:pPr>
      <w:r>
        <w:rPr>
          <w:color w:val="000000"/>
          <w:sz w:val="22"/>
          <w:lang w:val="es-AR"/>
        </w:rPr>
        <w:t xml:space="preserve">  </w:t>
      </w:r>
      <w:r>
        <w:rPr>
          <w:color w:val="000000"/>
          <w:sz w:val="22"/>
          <w:lang w:val="es-AR"/>
        </w:rPr>
        <w:t xml:space="preserve">Figura 4: Estructura de una pectina. Ramnogalactouronano I y II </w:t>
      </w:r>
    </w:p>
    <w:p w14:paraId="4F074AE2" w14:textId="77777777" w:rsidR="00000000" w:rsidRDefault="00AA47AD">
      <w:pPr>
        <w:pStyle w:val="Predeterminado"/>
        <w:tabs>
          <w:tab w:val="left" w:pos="360"/>
        </w:tabs>
        <w:spacing w:line="360" w:lineRule="auto"/>
        <w:ind w:right="-6"/>
        <w:jc w:val="both"/>
      </w:pPr>
    </w:p>
    <w:p w14:paraId="65D09D29" w14:textId="77777777" w:rsidR="00000000" w:rsidRDefault="00AA47AD">
      <w:pPr>
        <w:pStyle w:val="Predeterminado"/>
        <w:tabs>
          <w:tab w:val="left" w:pos="360"/>
        </w:tabs>
        <w:spacing w:line="360" w:lineRule="auto"/>
        <w:ind w:right="-6"/>
        <w:jc w:val="both"/>
      </w:pPr>
      <w:r>
        <w:rPr>
          <w:color w:val="000000"/>
          <w:sz w:val="22"/>
          <w:lang w:val="es-AR"/>
        </w:rPr>
        <w:tab/>
      </w:r>
      <w:r>
        <w:rPr>
          <w:color w:val="000000"/>
          <w:sz w:val="22"/>
          <w:lang w:val="es-AR"/>
        </w:rPr>
        <w:tab/>
        <w:t>Cuando las células terminan de crecer, adquieren una forma y función definitiva que se caracteriza por un tipo particular de pared celular. La nueva pared que eventualmente comienza a depo</w:t>
      </w:r>
      <w:r>
        <w:rPr>
          <w:color w:val="000000"/>
          <w:sz w:val="22"/>
          <w:lang w:val="es-AR"/>
        </w:rPr>
        <w:t xml:space="preserve">sitarse entre la pared primaria y la membrana plasmática se define como pared secundaria. Se caracteriza por tener una mayor proporción de celulosa de mayor grado de cristalinidad y contiene además importantes cantidades de lignina. </w:t>
      </w:r>
    </w:p>
    <w:p w14:paraId="0F2A1EAA" w14:textId="77777777" w:rsidR="00000000" w:rsidRDefault="00AA47AD">
      <w:pPr>
        <w:pStyle w:val="Predeterminado"/>
        <w:tabs>
          <w:tab w:val="left" w:pos="360"/>
        </w:tabs>
        <w:spacing w:line="360" w:lineRule="auto"/>
        <w:ind w:right="-6"/>
        <w:jc w:val="both"/>
      </w:pPr>
      <w:r>
        <w:rPr>
          <w:color w:val="000000"/>
          <w:sz w:val="22"/>
          <w:lang w:val="es-AR"/>
        </w:rPr>
        <w:t xml:space="preserve">La lignina es otro de </w:t>
      </w:r>
      <w:r>
        <w:rPr>
          <w:color w:val="000000"/>
          <w:sz w:val="22"/>
          <w:lang w:val="es-AR"/>
        </w:rPr>
        <w:t>los componentes de la pared celular, es un polímero fenólico y no un hidrato de carbono, que le aporta resistencia mecánica e impermeabilidad a la planta, además constituye una barrera frente al ataque de patógenos. Este polímero aparece fundamentalmente e</w:t>
      </w:r>
      <w:r>
        <w:rPr>
          <w:color w:val="000000"/>
          <w:sz w:val="22"/>
          <w:lang w:val="es-AR"/>
        </w:rPr>
        <w:t>n las paredes secundarias y resulta en una pérdida de la fase acuosa, que es reemplazada por este compuesto hidrofóbico.</w:t>
      </w:r>
    </w:p>
    <w:p w14:paraId="5DE72165" w14:textId="77777777" w:rsidR="00000000" w:rsidRDefault="00AA47AD">
      <w:pPr>
        <w:pStyle w:val="Predeterminado"/>
        <w:tabs>
          <w:tab w:val="left" w:pos="360"/>
        </w:tabs>
        <w:spacing w:line="360" w:lineRule="auto"/>
        <w:ind w:right="-6" w:firstLine="142"/>
        <w:jc w:val="both"/>
      </w:pPr>
      <w:r>
        <w:rPr>
          <w:color w:val="000000"/>
          <w:sz w:val="22"/>
          <w:lang w:val="es-AR"/>
        </w:rPr>
        <w:tab/>
      </w:r>
      <w:r>
        <w:rPr>
          <w:color w:val="000000"/>
          <w:sz w:val="22"/>
          <w:lang w:val="es-AR"/>
        </w:rPr>
        <w:tab/>
        <w:t xml:space="preserve">Todos los componentes descriptos se encuentran en las paredes celulares en diferente proporción y con diferentes interacciones entre </w:t>
      </w:r>
      <w:r>
        <w:rPr>
          <w:color w:val="000000"/>
          <w:sz w:val="22"/>
          <w:lang w:val="es-AR"/>
        </w:rPr>
        <w:t>sí, dando lugar a una red tridimensional muy compleja y embebida en diferentes proporciones de agua, cuya estructura varía según el tejido y edad de la planta, así como por factores ambientales (Braidwood et al. 2013).</w:t>
      </w:r>
    </w:p>
    <w:p w14:paraId="06F8FE08" w14:textId="77777777" w:rsidR="00000000" w:rsidRDefault="00AA47AD">
      <w:pPr>
        <w:pStyle w:val="Predeterminado"/>
        <w:tabs>
          <w:tab w:val="left" w:pos="360"/>
        </w:tabs>
        <w:spacing w:line="360" w:lineRule="auto"/>
        <w:ind w:right="-6" w:firstLine="142"/>
        <w:jc w:val="both"/>
      </w:pPr>
      <w:r>
        <w:rPr>
          <w:color w:val="000000"/>
          <w:lang w:val="es-AR"/>
        </w:rPr>
        <w:lastRenderedPageBreak/>
        <w:pict w14:anchorId="15673C2D">
          <v:shape id="" o:spid="_x0000_i1033" type="#_x0000_t75" alt="" style="width:277.5pt;height:191.25pt">
            <v:imagedata r:id="rId13" o:title=""/>
          </v:shape>
        </w:pict>
      </w:r>
    </w:p>
    <w:p w14:paraId="19362052" w14:textId="77777777" w:rsidR="00000000" w:rsidRDefault="00AA47AD">
      <w:pPr>
        <w:pStyle w:val="Predeterminado"/>
        <w:ind w:right="-6"/>
        <w:jc w:val="both"/>
      </w:pPr>
      <w:r>
        <w:rPr>
          <w:color w:val="000000"/>
          <w:lang w:val="es-AR"/>
        </w:rPr>
        <w:t>Figura 5:</w:t>
      </w:r>
      <w:r>
        <w:rPr>
          <w:b/>
          <w:color w:val="000000"/>
          <w:lang w:val="es-AR"/>
        </w:rPr>
        <w:t xml:space="preserve"> </w:t>
      </w:r>
      <w:r>
        <w:rPr>
          <w:color w:val="000000"/>
          <w:lang w:val="es-AR"/>
        </w:rPr>
        <w:t xml:space="preserve">Modelo molecular a escala de la pared celular de una hoja de </w:t>
      </w:r>
      <w:r>
        <w:rPr>
          <w:i/>
          <w:color w:val="000000"/>
          <w:lang w:val="es-AR"/>
        </w:rPr>
        <w:t>Arabidopsis</w:t>
      </w:r>
      <w:r>
        <w:rPr>
          <w:color w:val="000000"/>
          <w:lang w:val="es-AR"/>
        </w:rPr>
        <w:t>. El contenido de cada polímero se basa en su razón respecto del contenido de celulosa. La cantidad de celulosa representada es menor que la real, para mayor claridad del esq</w:t>
      </w:r>
      <w:r>
        <w:rPr>
          <w:color w:val="000000"/>
          <w:lang w:val="es-AR"/>
        </w:rPr>
        <w:t>uema. XG: xiloglucanos, GAX: glucuronoarabinoxilanos, RGII: ramnogalacturonano II, RGI: ramnogalacturonano I, HG: homogalacturonano. Tomado de Somerville et al. 2004.</w:t>
      </w:r>
    </w:p>
    <w:p w14:paraId="4C82B218" w14:textId="77777777" w:rsidR="00000000" w:rsidRDefault="00AA47AD">
      <w:pPr>
        <w:pStyle w:val="NormalWeb"/>
        <w:spacing w:line="360" w:lineRule="auto"/>
        <w:ind w:firstLine="720"/>
        <w:jc w:val="both"/>
        <w:rPr>
          <w:rFonts w:cs="Times New Roman"/>
          <w:szCs w:val="24"/>
        </w:rPr>
      </w:pPr>
      <w:r>
        <w:rPr>
          <w:rFonts w:ascii="Times New Roman" w:cs="Times New Roman"/>
          <w:sz w:val="22"/>
          <w:szCs w:val="24"/>
          <w:lang w:val="es-AR"/>
        </w:rPr>
        <w:t xml:space="preserve">En los últimos años, varios polisacáridos naturales extraídos de plantas, hongos y algas </w:t>
      </w:r>
      <w:r>
        <w:rPr>
          <w:rFonts w:ascii="Times New Roman" w:cs="Times New Roman"/>
          <w:sz w:val="22"/>
          <w:szCs w:val="24"/>
          <w:lang w:val="es-AR"/>
        </w:rPr>
        <w:t xml:space="preserve">han sido estudiados debido a su bioactividad como moduladores del sistema inmune humano y animal. </w:t>
      </w:r>
      <w:r>
        <w:rPr>
          <w:rFonts w:ascii="Times New Roman" w:cs="Times New Roman"/>
          <w:noProof/>
          <w:sz w:val="22"/>
          <w:szCs w:val="24"/>
        </w:rPr>
        <w:t xml:space="preserve">Se descubrieron una gran variedad de respuestas antitumorales, antimflamatorias, antioxidantes, </w:t>
      </w:r>
      <w:r>
        <w:rPr>
          <w:rFonts w:ascii="Times New Roman" w:cs="Times New Roman"/>
          <w:sz w:val="22"/>
          <w:szCs w:val="24"/>
        </w:rPr>
        <w:t>antigénicas, de promoción de la actividad de las células T, de</w:t>
      </w:r>
      <w:r>
        <w:rPr>
          <w:rFonts w:ascii="Times New Roman" w:cs="Times New Roman"/>
          <w:sz w:val="22"/>
          <w:szCs w:val="24"/>
        </w:rPr>
        <w:t xml:space="preserve"> estimulación de la formación y activación de macrófagos y también de inhibición de células cancerígenas. </w:t>
      </w:r>
      <w:r>
        <w:rPr>
          <w:rFonts w:ascii="Times New Roman" w:cs="Times New Roman"/>
          <w:sz w:val="22"/>
          <w:szCs w:val="24"/>
          <w:lang w:val="fr-FR"/>
        </w:rPr>
        <w:t>(Schepetkin &amp; Quinn 2006; Wang et al. 2014</w:t>
      </w:r>
      <w:r>
        <w:rPr>
          <w:rFonts w:ascii="Times New Roman" w:cs="Times New Roman"/>
          <w:sz w:val="22"/>
          <w:szCs w:val="24"/>
        </w:rPr>
        <w:t>, Zhang et al. 2017, Yu et al. 2018,</w:t>
      </w:r>
      <w:r>
        <w:rPr>
          <w:rFonts w:cs="Times New Roman"/>
          <w:sz w:val="22"/>
          <w:szCs w:val="24"/>
        </w:rPr>
        <w:t xml:space="preserve"> </w:t>
      </w:r>
      <w:r>
        <w:rPr>
          <w:rFonts w:ascii="Times New Roman" w:cs="Times New Roman"/>
          <w:sz w:val="22"/>
          <w:szCs w:val="24"/>
        </w:rPr>
        <w:t>Ji et al. 2019).</w:t>
      </w:r>
    </w:p>
    <w:p w14:paraId="4CF7276C" w14:textId="77777777" w:rsidR="00000000" w:rsidRDefault="00AA47AD">
      <w:pPr>
        <w:pStyle w:val="NormalWeb"/>
        <w:spacing w:line="360" w:lineRule="auto"/>
        <w:ind w:firstLine="720"/>
        <w:jc w:val="both"/>
        <w:rPr>
          <w:rFonts w:cs="Times New Roman"/>
          <w:szCs w:val="24"/>
        </w:rPr>
      </w:pPr>
      <w:r>
        <w:rPr>
          <w:rFonts w:ascii="Times New Roman" w:cs="Times New Roman"/>
          <w:sz w:val="22"/>
          <w:szCs w:val="24"/>
        </w:rPr>
        <w:t>Las células cancerígenas se caracterizan por presentar</w:t>
      </w:r>
      <w:r>
        <w:rPr>
          <w:rFonts w:ascii="Times New Roman" w:cs="Times New Roman"/>
          <w:sz w:val="22"/>
          <w:szCs w:val="24"/>
        </w:rPr>
        <w:t xml:space="preserve"> una rápida división celular con la formación de células anormales. Estas células anormales pueden multiplicarse formando tumores o dispersarse a órganos adyacentes y dar metástasis en distintos órganos. Producen la alteración de las funciones normales de </w:t>
      </w:r>
      <w:r>
        <w:rPr>
          <w:rFonts w:ascii="Times New Roman" w:cs="Times New Roman"/>
          <w:sz w:val="22"/>
          <w:szCs w:val="24"/>
        </w:rPr>
        <w:t xml:space="preserve">los órganos afectados y si no son tratadas pueden llevar a la muerte. </w:t>
      </w:r>
    </w:p>
    <w:p w14:paraId="40B038DE" w14:textId="77777777" w:rsidR="00000000" w:rsidRDefault="00AA47AD">
      <w:pPr>
        <w:pStyle w:val="NormalWeb"/>
        <w:spacing w:line="360" w:lineRule="auto"/>
        <w:ind w:firstLine="720"/>
        <w:jc w:val="both"/>
        <w:rPr>
          <w:rFonts w:cs="Times New Roman"/>
          <w:szCs w:val="24"/>
        </w:rPr>
      </w:pPr>
      <w:r>
        <w:rPr>
          <w:rFonts w:ascii="Times New Roman" w:cs="Times New Roman"/>
          <w:sz w:val="22"/>
          <w:szCs w:val="24"/>
        </w:rPr>
        <w:t>El sistema inmune tiene un papel dual en el desarrollo y progresión del cáncer. Por un lado, puede eliminar las células tumorales mediante la acción de células efectoras contra el tumor</w:t>
      </w:r>
      <w:r>
        <w:rPr>
          <w:rFonts w:ascii="Times New Roman" w:cs="Times New Roman"/>
          <w:sz w:val="22"/>
          <w:szCs w:val="24"/>
        </w:rPr>
        <w:t xml:space="preserve">, como son las células </w:t>
      </w:r>
      <w:r>
        <w:rPr>
          <w:rFonts w:ascii="Times New Roman" w:cs="Times New Roman"/>
          <w:i/>
          <w:sz w:val="22"/>
          <w:szCs w:val="24"/>
        </w:rPr>
        <w:t>natural killer</w:t>
      </w:r>
      <w:r>
        <w:rPr>
          <w:rFonts w:ascii="Times New Roman" w:cs="Times New Roman"/>
          <w:sz w:val="22"/>
          <w:szCs w:val="24"/>
        </w:rPr>
        <w:t xml:space="preserve"> (NK), y las células T citotóxicas (Tc). Pero, por otra parte, puede promover también el crecimiento y la diseminación tumoral regulando negativamente dichos mecanismos efectores mediante células dendríticas (CD) plasmo</w:t>
      </w:r>
      <w:r>
        <w:rPr>
          <w:rFonts w:ascii="Times New Roman" w:cs="Times New Roman"/>
          <w:sz w:val="22"/>
          <w:szCs w:val="24"/>
        </w:rPr>
        <w:t>citoides o tolerogénicas, células mieloides supresoras (MDSC) y diferentes tipos de células T reguladoras (Treg)</w:t>
      </w:r>
      <w:r>
        <w:rPr>
          <w:rFonts w:ascii="Times New Roman" w:cs="Times New Roman"/>
          <w:sz w:val="22"/>
          <w:szCs w:val="24"/>
          <w:lang w:val="es-AR"/>
        </w:rPr>
        <w:t>. Muchas evidencias sugieren que las células inmunes que infiltran los tumores y sus factores solubles contribuyen a la biología de muchos cánce</w:t>
      </w:r>
      <w:r>
        <w:rPr>
          <w:rFonts w:ascii="Times New Roman" w:cs="Times New Roman"/>
          <w:sz w:val="22"/>
          <w:szCs w:val="24"/>
          <w:lang w:val="es-AR"/>
        </w:rPr>
        <w:t xml:space="preserve">res y se asocian con el </w:t>
      </w:r>
      <w:r>
        <w:rPr>
          <w:rFonts w:ascii="Times New Roman" w:cs="Times New Roman"/>
          <w:sz w:val="22"/>
          <w:szCs w:val="24"/>
          <w:lang w:val="es-AR"/>
        </w:rPr>
        <w:lastRenderedPageBreak/>
        <w:t>resultado clínico de la enfermedad. De hecho, la presencia de células Tc (CD8</w:t>
      </w:r>
      <w:r>
        <w:rPr>
          <w:rFonts w:ascii="Times New Roman" w:cs="Times New Roman"/>
          <w:position w:val="6"/>
          <w:sz w:val="22"/>
          <w:szCs w:val="24"/>
          <w:lang w:val="es-AR"/>
        </w:rPr>
        <w:t>+</w:t>
      </w:r>
      <w:r>
        <w:rPr>
          <w:rFonts w:ascii="Times New Roman" w:cs="Times New Roman"/>
          <w:sz w:val="22"/>
          <w:szCs w:val="24"/>
          <w:lang w:val="es-AR"/>
        </w:rPr>
        <w:t>) en el infiltrado linfocitario tumoral se correlaciona con un buen pronóstico en varios tipos de cáncer (</w:t>
      </w:r>
      <w:r>
        <w:rPr>
          <w:rFonts w:ascii="Times New Roman" w:cs="Times New Roman"/>
          <w:sz w:val="22"/>
          <w:szCs w:val="24"/>
        </w:rPr>
        <w:t>Sterle et al. 2016).</w:t>
      </w:r>
    </w:p>
    <w:p w14:paraId="4382864C" w14:textId="77777777" w:rsidR="00000000" w:rsidRDefault="00AA47AD">
      <w:pPr>
        <w:pStyle w:val="NormalWeb"/>
        <w:spacing w:line="360" w:lineRule="auto"/>
        <w:ind w:firstLine="720"/>
        <w:jc w:val="both"/>
        <w:rPr>
          <w:rFonts w:cs="Times New Roman"/>
          <w:szCs w:val="24"/>
        </w:rPr>
      </w:pPr>
      <w:r>
        <w:rPr>
          <w:rFonts w:ascii="Times New Roman" w:cs="Times New Roman"/>
          <w:sz w:val="22"/>
          <w:szCs w:val="24"/>
        </w:rPr>
        <w:t>Se considera entonces que u</w:t>
      </w:r>
      <w:r>
        <w:rPr>
          <w:rFonts w:ascii="Times New Roman" w:cs="Times New Roman"/>
          <w:sz w:val="22"/>
          <w:szCs w:val="24"/>
        </w:rPr>
        <w:t>no de los mecanismos que las células tumorales activan para evadir al sistema inmune es la inmunosupresión, por lo tanto, un factor que promueva las respuestas inmunes efectoras en el huésped podría restaurar el balance dinámico entre las células tumorales</w:t>
      </w:r>
      <w:r>
        <w:rPr>
          <w:rFonts w:ascii="Times New Roman" w:cs="Times New Roman"/>
          <w:sz w:val="22"/>
          <w:szCs w:val="24"/>
        </w:rPr>
        <w:t xml:space="preserve"> y la respuesta inmune, y favorecer la respuesta antitumoral (Bao et al. 2013).</w:t>
      </w:r>
    </w:p>
    <w:p w14:paraId="0166EFCC" w14:textId="77777777" w:rsidR="00000000" w:rsidRDefault="00AA47AD">
      <w:pPr>
        <w:pStyle w:val="NormalWeb"/>
        <w:spacing w:line="360" w:lineRule="auto"/>
        <w:ind w:firstLine="720"/>
        <w:jc w:val="both"/>
        <w:rPr>
          <w:rFonts w:cs="Times New Roman"/>
          <w:szCs w:val="24"/>
        </w:rPr>
      </w:pPr>
      <w:r>
        <w:rPr>
          <w:rFonts w:ascii="Times New Roman" w:cs="Times New Roman"/>
          <w:sz w:val="22"/>
          <w:szCs w:val="24"/>
        </w:rPr>
        <w:t xml:space="preserve">Ciertos polisacáridos poseen actividad inmunoestimulante. Pueden trabajar en forma independiente como anticancerígenos  a través de la producción de citoquinas, como el factor </w:t>
      </w:r>
      <w:r>
        <w:rPr>
          <w:rFonts w:ascii="Times New Roman" w:cs="Times New Roman"/>
          <w:sz w:val="22"/>
          <w:szCs w:val="24"/>
        </w:rPr>
        <w:t>de necrosis tumoral (TNF-</w:t>
      </w:r>
      <w:r>
        <w:rPr>
          <w:rFonts w:ascii="Times New Roman" w:cs="Times New Roman"/>
          <w:sz w:val="22"/>
          <w:szCs w:val="24"/>
        </w:rPr>
        <w:t>α</w:t>
      </w:r>
      <w:r>
        <w:rPr>
          <w:rFonts w:ascii="Times New Roman" w:cs="Times New Roman"/>
          <w:sz w:val="22"/>
          <w:szCs w:val="24"/>
        </w:rPr>
        <w:t>), interleuquinas (IL-2, IL-4, IL-6, IL-12), etc., y aumentando la diferenciación de células T hacia linfocitos Tc CD8</w:t>
      </w:r>
      <w:r>
        <w:rPr>
          <w:rFonts w:ascii="Times New Roman" w:cs="Times New Roman"/>
          <w:position w:val="6"/>
          <w:sz w:val="22"/>
          <w:szCs w:val="24"/>
        </w:rPr>
        <w:t>+</w:t>
      </w:r>
      <w:r>
        <w:rPr>
          <w:rFonts w:ascii="Times New Roman" w:cs="Times New Roman"/>
          <w:sz w:val="22"/>
          <w:szCs w:val="24"/>
        </w:rPr>
        <w:t xml:space="preserve"> (Fig. 6). Alternativamente, pueden dar sinergismo con 5-FU, superando su efecto inmunosupresor.</w:t>
      </w:r>
    </w:p>
    <w:p w14:paraId="650A24F2" w14:textId="77777777" w:rsidR="00000000" w:rsidRDefault="00AA47AD">
      <w:pPr>
        <w:pStyle w:val="NormalWeb"/>
        <w:spacing w:line="360" w:lineRule="auto"/>
        <w:ind w:firstLine="720"/>
        <w:jc w:val="both"/>
        <w:rPr>
          <w:rFonts w:cs="Times New Roman"/>
          <w:szCs w:val="24"/>
        </w:rPr>
      </w:pPr>
      <w:r>
        <w:rPr>
          <w:rFonts w:ascii="Times New Roman" w:cs="Times New Roman"/>
          <w:sz w:val="22"/>
          <w:szCs w:val="24"/>
        </w:rPr>
        <w:t>En la siguient</w:t>
      </w:r>
      <w:r>
        <w:rPr>
          <w:rFonts w:ascii="Times New Roman" w:cs="Times New Roman"/>
          <w:sz w:val="22"/>
          <w:szCs w:val="24"/>
        </w:rPr>
        <w:t>e figura se muestra la actividad inmunomoduladora de los polisacáridos.</w:t>
      </w:r>
    </w:p>
    <w:p w14:paraId="51384ED3" w14:textId="77777777" w:rsidR="00000000" w:rsidRDefault="00AA47AD">
      <w:pPr>
        <w:pStyle w:val="Predeterminado"/>
        <w:spacing w:before="280" w:after="280" w:line="360" w:lineRule="auto"/>
        <w:jc w:val="both"/>
      </w:pPr>
      <w:r>
        <w:rPr>
          <w:color w:val="000000"/>
          <w:position w:val="9"/>
          <w:sz w:val="22"/>
          <w:lang w:val="es-AR"/>
        </w:rPr>
        <w:pict w14:anchorId="347C5547">
          <v:shape id="" o:spid="_x0000_i1034" type="#_x0000_t75" alt="" style="width:257.25pt;height:177pt">
            <v:imagedata r:id="rId14" o:title="" cropbottom="4736f"/>
          </v:shape>
        </w:pict>
      </w:r>
      <w:r>
        <w:rPr>
          <w:color w:val="000000"/>
          <w:position w:val="9"/>
          <w:sz w:val="22"/>
          <w:lang w:val="es-AR"/>
        </w:rPr>
        <w:t xml:space="preserve"> </w:t>
      </w:r>
    </w:p>
    <w:p w14:paraId="7834E411" w14:textId="77777777" w:rsidR="00000000" w:rsidRDefault="00AA47AD">
      <w:pPr>
        <w:pStyle w:val="Predeterminado"/>
        <w:spacing w:before="280" w:after="280" w:line="360" w:lineRule="auto"/>
        <w:jc w:val="both"/>
      </w:pPr>
    </w:p>
    <w:p w14:paraId="201E6434" w14:textId="77777777" w:rsidR="00000000" w:rsidRDefault="00AA47AD">
      <w:pPr>
        <w:pStyle w:val="Predeterminado"/>
        <w:spacing w:before="280" w:after="280" w:line="360" w:lineRule="auto"/>
        <w:jc w:val="both"/>
      </w:pPr>
    </w:p>
    <w:p w14:paraId="48F6D477" w14:textId="77777777" w:rsidR="00000000" w:rsidRDefault="00AA47AD">
      <w:pPr>
        <w:pStyle w:val="Predeterminado"/>
        <w:spacing w:before="280" w:after="280" w:line="360" w:lineRule="auto"/>
        <w:jc w:val="both"/>
      </w:pPr>
    </w:p>
    <w:p w14:paraId="4041AE33" w14:textId="77777777" w:rsidR="00000000" w:rsidRDefault="00AA47AD">
      <w:pPr>
        <w:pStyle w:val="Predeterminado"/>
        <w:spacing w:before="280" w:after="280" w:line="360" w:lineRule="auto"/>
        <w:jc w:val="both"/>
      </w:pPr>
    </w:p>
    <w:p w14:paraId="32C4B39E" w14:textId="77777777" w:rsidR="00000000" w:rsidRDefault="00AA47AD">
      <w:pPr>
        <w:pStyle w:val="Predeterminado"/>
        <w:spacing w:before="280" w:after="280" w:line="360" w:lineRule="auto"/>
        <w:jc w:val="both"/>
      </w:pPr>
    </w:p>
    <w:p w14:paraId="3F2B8D1D" w14:textId="77777777" w:rsidR="00000000" w:rsidRDefault="00AA47AD">
      <w:pPr>
        <w:pStyle w:val="Predeterminado"/>
        <w:spacing w:before="280" w:after="280" w:line="360" w:lineRule="auto"/>
        <w:jc w:val="both"/>
      </w:pPr>
      <w:r>
        <w:rPr>
          <w:color w:val="000000"/>
          <w:lang w:val="es-AR"/>
        </w:rPr>
        <w:t>Figura 6: Actividad inmunomoduladora de los polisacáridos que favorece la inmunidad antitumoral</w:t>
      </w:r>
    </w:p>
    <w:p w14:paraId="04D16DC7" w14:textId="77777777" w:rsidR="00000000" w:rsidRDefault="00AA47AD">
      <w:pPr>
        <w:pStyle w:val="Predeterminado"/>
        <w:spacing w:before="280" w:after="280" w:line="360" w:lineRule="auto"/>
        <w:ind w:firstLine="720"/>
        <w:jc w:val="both"/>
      </w:pPr>
      <w:r>
        <w:rPr>
          <w:color w:val="000000"/>
          <w:sz w:val="22"/>
          <w:lang w:val="es-AR"/>
        </w:rPr>
        <w:t>Específicamente, se observó</w:t>
      </w:r>
      <w:r>
        <w:rPr>
          <w:color w:val="000000"/>
          <w:sz w:val="22"/>
          <w:lang w:val="es-AR"/>
        </w:rPr>
        <w:t xml:space="preserve"> que algunos arabinogalactanos, galactomananos y polisacáridos pécticos derivados de plantas, </w:t>
      </w:r>
      <w:r>
        <w:rPr>
          <w:color w:val="000000"/>
          <w:sz w:val="22"/>
        </w:rPr>
        <w:t>β</w:t>
      </w:r>
      <w:r>
        <w:rPr>
          <w:color w:val="000000"/>
          <w:sz w:val="22"/>
          <w:lang w:val="es-AR"/>
        </w:rPr>
        <w:t>-glucanos y glicoproteínas derivadas de hongos y algunos polisacáridos sulfatados derivados de algas marinas poseen actividades antioxidantes e inmunomoduladoras</w:t>
      </w:r>
      <w:r>
        <w:rPr>
          <w:color w:val="000000"/>
          <w:sz w:val="22"/>
          <w:lang w:val="es-AR"/>
        </w:rPr>
        <w:t xml:space="preserve"> (Schepetkin &amp; Quinn 2006; </w:t>
      </w:r>
      <w:r>
        <w:rPr>
          <w:color w:val="000000"/>
          <w:sz w:val="22"/>
          <w:lang w:val="es-ES"/>
        </w:rPr>
        <w:t>Zhao et al 2016</w:t>
      </w:r>
      <w:r>
        <w:rPr>
          <w:color w:val="000000"/>
          <w:sz w:val="22"/>
          <w:lang w:val="es-AR"/>
        </w:rPr>
        <w:t xml:space="preserve">). </w:t>
      </w:r>
      <w:r>
        <w:rPr>
          <w:color w:val="000000"/>
          <w:sz w:val="22"/>
          <w:lang w:val="es-ES"/>
        </w:rPr>
        <w:t>Otros polisacáridos, entre ellos derivados de la quitina, exhiben una citotoxicidad selectiva sobre las células tumorales sin afectar a células sanas (Khan 2019)</w:t>
      </w:r>
      <w:r>
        <w:rPr>
          <w:rFonts w:ascii="AdvOT596495f2"/>
          <w:color w:val="000000"/>
          <w:sz w:val="16"/>
          <w:lang w:val="es-ES"/>
        </w:rPr>
        <w:t xml:space="preserve"> </w:t>
      </w:r>
      <w:r>
        <w:rPr>
          <w:color w:val="000000"/>
          <w:sz w:val="22"/>
          <w:lang w:val="es-ES"/>
        </w:rPr>
        <w:t>y sin producir los efectos adversos asociados a o</w:t>
      </w:r>
      <w:r>
        <w:rPr>
          <w:color w:val="000000"/>
          <w:sz w:val="22"/>
          <w:lang w:val="es-ES"/>
        </w:rPr>
        <w:t>tros tratamientos como la quimoterapia o la terapìa antihormonal que producen anemia, alopecia e inmunosupresión. Se ha demostrado que otros polisacáridos utilizados como inmunomoduladores y que potencian las defensas antitumorales, pueden ser coadyuvantes</w:t>
      </w:r>
      <w:r>
        <w:rPr>
          <w:color w:val="000000"/>
          <w:sz w:val="22"/>
          <w:lang w:val="es-ES"/>
        </w:rPr>
        <w:t xml:space="preserve"> de los agentes quimioterápicos, contribuyendo con su acción, ya que contrarrestarían los efectos secundarios inmunosupresores que dichos agentes provocan (Bao &amp; Lan 2013).</w:t>
      </w:r>
    </w:p>
    <w:p w14:paraId="716D0F68" w14:textId="77777777" w:rsidR="00000000" w:rsidRDefault="00AA47AD">
      <w:pPr>
        <w:pStyle w:val="Predeterminado"/>
        <w:spacing w:before="280" w:after="280" w:line="360" w:lineRule="auto"/>
        <w:ind w:firstLine="720"/>
        <w:jc w:val="both"/>
      </w:pPr>
      <w:r>
        <w:rPr>
          <w:color w:val="000000"/>
          <w:sz w:val="22"/>
          <w:lang w:val="es-ES"/>
        </w:rPr>
        <w:t>La actividad antitumoral depende del tipo de polisacárido utilizado, su grado de solubilidad en agua, el tamaño de su molécula, su forma y la presencia o no de ramificaciones (Ji et al. 2017, 2017b; Shao et al. 2014, Wu et al. 2015). A mayor solubilidad en</w:t>
      </w:r>
      <w:r>
        <w:rPr>
          <w:color w:val="000000"/>
          <w:sz w:val="22"/>
          <w:lang w:val="es-ES"/>
        </w:rPr>
        <w:t xml:space="preserve"> el agua y a mayor peso molecular del polisacárido, en general mayor será su actividad antitumoral (Ren et al. 2012). </w:t>
      </w:r>
    </w:p>
    <w:p w14:paraId="7FF4F7BF" w14:textId="77777777" w:rsidR="00000000" w:rsidRDefault="00AA47AD">
      <w:pPr>
        <w:pStyle w:val="Predeterminado"/>
        <w:spacing w:line="360" w:lineRule="auto"/>
        <w:jc w:val="both"/>
      </w:pPr>
      <w:r>
        <w:rPr>
          <w:color w:val="000000"/>
          <w:sz w:val="22"/>
          <w:lang w:val="es-ES"/>
        </w:rPr>
        <w:t>Entre los polisacáridos estudiados, las pectinas constituyen una familia de polisacáridos complejos que han mostrado tener una acción inh</w:t>
      </w:r>
      <w:r>
        <w:rPr>
          <w:color w:val="000000"/>
          <w:sz w:val="22"/>
          <w:lang w:val="es-ES"/>
        </w:rPr>
        <w:t xml:space="preserve">ibidora sobre varias líneas celulares tumorales (Maxwell et al. 2016). </w:t>
      </w:r>
    </w:p>
    <w:p w14:paraId="73D15B09" w14:textId="77777777" w:rsidR="00000000" w:rsidRDefault="00AA47AD">
      <w:pPr>
        <w:pStyle w:val="Predeterminado"/>
        <w:spacing w:line="360" w:lineRule="auto"/>
        <w:ind w:firstLine="720"/>
        <w:jc w:val="both"/>
      </w:pPr>
      <w:r>
        <w:rPr>
          <w:color w:val="000000"/>
          <w:sz w:val="22"/>
          <w:lang w:val="es-ES"/>
        </w:rPr>
        <w:t xml:space="preserve"> Se sabe que las plantas pertenecientes a la familia de las leguminosas tienen un porcentaje mayor de pectinas que las plantas pertenecientes a la familia de las gramíneas o poáceas. P</w:t>
      </w:r>
      <w:r>
        <w:rPr>
          <w:color w:val="000000"/>
          <w:sz w:val="22"/>
          <w:lang w:val="es-ES"/>
        </w:rPr>
        <w:t>or otra parte, como se describió antes, las paredes celulares vegetales son matrices químicamente activas que responden a situaciones de estrés. El estrés salino afecta las paredes celulares vegetales y este efecto podría ser diferencial en la estructura d</w:t>
      </w:r>
      <w:r>
        <w:rPr>
          <w:color w:val="000000"/>
          <w:sz w:val="22"/>
          <w:lang w:val="es-ES"/>
        </w:rPr>
        <w:t xml:space="preserve">e las pectinas de sus paredes celulares. Para evaluar el </w:t>
      </w:r>
      <w:r>
        <w:rPr>
          <w:color w:val="000000"/>
          <w:sz w:val="22"/>
          <w:lang w:val="es-ES"/>
        </w:rPr>
        <w:lastRenderedPageBreak/>
        <w:t xml:space="preserve">efecto potencial inmunomodulador y el potencial terapéutico de polisacáridos pécticos en células cancerígenas, se decidió trabajar con pectinas obtenidas de tallos de </w:t>
      </w:r>
      <w:r>
        <w:rPr>
          <w:i/>
          <w:color w:val="000000"/>
          <w:sz w:val="22"/>
          <w:lang w:val="es-ES"/>
        </w:rPr>
        <w:t>Lotus tenuis</w:t>
      </w:r>
      <w:r>
        <w:rPr>
          <w:color w:val="000000"/>
          <w:sz w:val="22"/>
          <w:lang w:val="es-ES"/>
        </w:rPr>
        <w:t xml:space="preserve"> de plantas que crec</w:t>
      </w:r>
      <w:r>
        <w:rPr>
          <w:color w:val="000000"/>
          <w:sz w:val="22"/>
          <w:lang w:val="es-ES"/>
        </w:rPr>
        <w:t>ieron con y sin estrés salino.</w:t>
      </w:r>
    </w:p>
    <w:p w14:paraId="419E63D4" w14:textId="77777777" w:rsidR="00000000" w:rsidRDefault="00AA47AD">
      <w:pPr>
        <w:pStyle w:val="NormalWeb"/>
        <w:spacing w:line="360" w:lineRule="auto"/>
        <w:jc w:val="both"/>
        <w:rPr>
          <w:rFonts w:cs="Times New Roman"/>
          <w:szCs w:val="24"/>
        </w:rPr>
      </w:pPr>
      <w:r>
        <w:rPr>
          <w:rFonts w:ascii="Times New Roman" w:cs="Times New Roman"/>
          <w:sz w:val="22"/>
          <w:szCs w:val="24"/>
        </w:rPr>
        <w:t>Hipótesis de trabajo:</w:t>
      </w:r>
    </w:p>
    <w:p w14:paraId="746883B8" w14:textId="77777777" w:rsidR="00000000" w:rsidRDefault="00AA47AD">
      <w:pPr>
        <w:pStyle w:val="NormalWeb"/>
        <w:spacing w:line="360" w:lineRule="auto"/>
        <w:jc w:val="both"/>
        <w:rPr>
          <w:rFonts w:cs="Times New Roman"/>
          <w:szCs w:val="24"/>
        </w:rPr>
      </w:pPr>
      <w:r>
        <w:rPr>
          <w:rFonts w:ascii="Times New Roman" w:cs="Times New Roman"/>
          <w:sz w:val="22"/>
          <w:szCs w:val="24"/>
        </w:rPr>
        <w:t xml:space="preserve">Ciertos polisacáridos pécticos obtenidos de las paredes celulares de los tallos de las plantas de </w:t>
      </w:r>
      <w:r>
        <w:rPr>
          <w:rFonts w:ascii="Times New Roman" w:cs="Times New Roman"/>
          <w:i/>
          <w:sz w:val="22"/>
          <w:szCs w:val="24"/>
        </w:rPr>
        <w:t>Lotus tenuis</w:t>
      </w:r>
      <w:r>
        <w:rPr>
          <w:rFonts w:ascii="Times New Roman" w:cs="Times New Roman"/>
          <w:sz w:val="22"/>
          <w:szCs w:val="24"/>
        </w:rPr>
        <w:t xml:space="preserve"> tienen acción antitumoral directa y/o indirecta a través de la regulación de la inmunidad co</w:t>
      </w:r>
      <w:r>
        <w:rPr>
          <w:rFonts w:ascii="Times New Roman" w:cs="Times New Roman"/>
          <w:sz w:val="22"/>
          <w:szCs w:val="24"/>
        </w:rPr>
        <w:t>ntra el tumor. Por otra parte, aquellos ejemplares que sufrieron el estrés salino modulan su estructura química, produciendo cambios en las paredes celulares como consecuencia del estrés respecto a los de las plantas control. Estas variaciones estructurale</w:t>
      </w:r>
      <w:r>
        <w:rPr>
          <w:rFonts w:ascii="Times New Roman" w:cs="Times New Roman"/>
          <w:sz w:val="22"/>
          <w:szCs w:val="24"/>
        </w:rPr>
        <w:t>s nos proveen de estructuras diferentes que podrían ser más activas que las originales.</w:t>
      </w:r>
    </w:p>
    <w:p w14:paraId="68922386" w14:textId="77777777" w:rsidR="00000000" w:rsidRDefault="00AA47AD">
      <w:pPr>
        <w:pStyle w:val="Predeterminado"/>
        <w:spacing w:line="360" w:lineRule="auto"/>
        <w:jc w:val="both"/>
      </w:pPr>
    </w:p>
    <w:p w14:paraId="4969CB48" w14:textId="77777777" w:rsidR="00000000" w:rsidRDefault="00AA47AD">
      <w:pPr>
        <w:pStyle w:val="Predeterminado"/>
        <w:spacing w:line="360" w:lineRule="auto"/>
        <w:jc w:val="both"/>
      </w:pPr>
      <w:r>
        <w:rPr>
          <w:b/>
          <w:color w:val="000000"/>
          <w:sz w:val="22"/>
          <w:lang w:val="es-AR"/>
        </w:rPr>
        <w:t>3.4 Objetivos e hipótesis de la investigación</w:t>
      </w:r>
    </w:p>
    <w:p w14:paraId="7AA86FCE" w14:textId="77777777" w:rsidR="00000000" w:rsidRDefault="00AA47AD">
      <w:pPr>
        <w:pStyle w:val="NormalWeb"/>
        <w:spacing w:line="360" w:lineRule="auto"/>
        <w:jc w:val="both"/>
        <w:rPr>
          <w:rFonts w:cs="Times New Roman"/>
          <w:szCs w:val="24"/>
        </w:rPr>
      </w:pPr>
      <w:r>
        <w:rPr>
          <w:rFonts w:ascii="Times New Roman" w:cs="Times New Roman"/>
          <w:sz w:val="22"/>
          <w:szCs w:val="24"/>
        </w:rPr>
        <w:t xml:space="preserve">Objetivo general </w:t>
      </w:r>
    </w:p>
    <w:p w14:paraId="2AD62C32" w14:textId="77777777" w:rsidR="00000000" w:rsidRDefault="00AA47AD">
      <w:pPr>
        <w:pStyle w:val="Predeterminado"/>
        <w:spacing w:line="360" w:lineRule="auto"/>
        <w:jc w:val="both"/>
      </w:pPr>
      <w:r>
        <w:rPr>
          <w:b/>
          <w:color w:val="000000"/>
          <w:sz w:val="22"/>
          <w:shd w:val="clear" w:color="auto" w:fill="FFFFFF"/>
          <w:lang w:val="es-ES"/>
        </w:rPr>
        <w:t>Evaluar el potencial terapéutico e inmunomodulador de los polisacáridos pécticos de paredes celulares v</w:t>
      </w:r>
      <w:r>
        <w:rPr>
          <w:b/>
          <w:color w:val="000000"/>
          <w:sz w:val="22"/>
          <w:shd w:val="clear" w:color="auto" w:fill="FFFFFF"/>
          <w:lang w:val="es-ES"/>
        </w:rPr>
        <w:t xml:space="preserve">egetales de </w:t>
      </w:r>
      <w:r>
        <w:rPr>
          <w:b/>
          <w:i/>
          <w:color w:val="000000"/>
          <w:sz w:val="22"/>
          <w:shd w:val="clear" w:color="auto" w:fill="FFFFFF"/>
          <w:lang w:val="es-ES"/>
        </w:rPr>
        <w:t>Lotus tenuis</w:t>
      </w:r>
      <w:r>
        <w:rPr>
          <w:b/>
          <w:color w:val="000000"/>
          <w:sz w:val="22"/>
          <w:shd w:val="clear" w:color="auto" w:fill="FFFFFF"/>
          <w:lang w:val="es-ES"/>
        </w:rPr>
        <w:t xml:space="preserve">, y su utilización en monogástricos </w:t>
      </w:r>
    </w:p>
    <w:p w14:paraId="756A4577" w14:textId="77777777" w:rsidR="00000000" w:rsidRDefault="00AA47AD">
      <w:pPr>
        <w:pStyle w:val="NormalWeb"/>
        <w:spacing w:line="360" w:lineRule="auto"/>
        <w:jc w:val="both"/>
        <w:rPr>
          <w:rFonts w:cs="Times New Roman"/>
          <w:szCs w:val="24"/>
        </w:rPr>
      </w:pPr>
      <w:r>
        <w:rPr>
          <w:rFonts w:ascii="Times New Roman" w:cs="Times New Roman"/>
          <w:sz w:val="22"/>
          <w:szCs w:val="24"/>
          <w:lang w:val="es-AR"/>
        </w:rPr>
        <w:t>Objetivos específicos:</w:t>
      </w:r>
    </w:p>
    <w:p w14:paraId="08F7D521" w14:textId="77777777" w:rsidR="00000000" w:rsidRDefault="00AA47AD">
      <w:pPr>
        <w:pStyle w:val="NormalWeb"/>
        <w:spacing w:line="360" w:lineRule="auto"/>
        <w:jc w:val="both"/>
        <w:rPr>
          <w:rFonts w:cs="Times New Roman"/>
          <w:szCs w:val="24"/>
        </w:rPr>
      </w:pPr>
      <w:r>
        <w:rPr>
          <w:rFonts w:ascii="Times New Roman" w:cs="Times New Roman"/>
          <w:sz w:val="22"/>
          <w:szCs w:val="24"/>
          <w:lang w:val="es-AR"/>
        </w:rPr>
        <w:t>Trabajaremos con las lí</w:t>
      </w:r>
      <w:r>
        <w:rPr>
          <w:rFonts w:ascii="Times New Roman" w:cs="Times New Roman"/>
          <w:sz w:val="22"/>
          <w:szCs w:val="24"/>
          <w:lang w:val="es-AR"/>
        </w:rPr>
        <w:t xml:space="preserve">neas celulares de linfoma T, EL-4 y LBC, singeneicas con animales C57Bl/6 (C57, </w:t>
      </w:r>
      <w:r>
        <w:rPr>
          <w:rFonts w:ascii="Times New Roman" w:cs="Times New Roman"/>
          <w:sz w:val="22"/>
          <w:szCs w:val="24"/>
        </w:rPr>
        <w:t>H-2</w:t>
      </w:r>
      <w:r>
        <w:rPr>
          <w:rFonts w:ascii="Times New Roman" w:cs="Times New Roman"/>
          <w:position w:val="6"/>
          <w:sz w:val="22"/>
          <w:szCs w:val="24"/>
        </w:rPr>
        <w:t>b</w:t>
      </w:r>
      <w:r>
        <w:rPr>
          <w:rFonts w:ascii="Times New Roman" w:cs="Times New Roman"/>
          <w:sz w:val="22"/>
          <w:szCs w:val="24"/>
        </w:rPr>
        <w:t>)</w:t>
      </w:r>
      <w:r>
        <w:rPr>
          <w:rFonts w:ascii="Times New Roman" w:cs="Times New Roman"/>
          <w:sz w:val="22"/>
          <w:szCs w:val="24"/>
          <w:lang w:val="es-AR"/>
        </w:rPr>
        <w:t xml:space="preserve"> y Balb/c </w:t>
      </w:r>
      <w:r>
        <w:rPr>
          <w:rFonts w:ascii="Times New Roman" w:cs="Times New Roman"/>
          <w:sz w:val="22"/>
          <w:szCs w:val="24"/>
        </w:rPr>
        <w:t>(H-2</w:t>
      </w:r>
      <w:r>
        <w:rPr>
          <w:rFonts w:ascii="Times New Roman" w:cs="Times New Roman"/>
          <w:position w:val="6"/>
          <w:sz w:val="22"/>
          <w:szCs w:val="24"/>
        </w:rPr>
        <w:t>d</w:t>
      </w:r>
      <w:r>
        <w:rPr>
          <w:rFonts w:ascii="Times New Roman" w:cs="Times New Roman"/>
          <w:sz w:val="22"/>
          <w:szCs w:val="24"/>
        </w:rPr>
        <w:t>)</w:t>
      </w:r>
      <w:r>
        <w:rPr>
          <w:rFonts w:ascii="Times New Roman" w:cs="Times New Roman"/>
          <w:sz w:val="22"/>
          <w:szCs w:val="24"/>
          <w:lang w:val="es-AR"/>
        </w:rPr>
        <w:t xml:space="preserve"> respectivamente; las líneas de melanoma B16F1 singeneicas con animales C57 y las líneas celulares de cáncer de mama 4T1</w:t>
      </w:r>
      <w:r>
        <w:rPr>
          <w:rFonts w:cs="Times New Roman"/>
          <w:szCs w:val="24"/>
        </w:rPr>
        <w:t xml:space="preserve"> </w:t>
      </w:r>
      <w:r>
        <w:rPr>
          <w:rFonts w:ascii="Times New Roman" w:cs="Times New Roman"/>
          <w:sz w:val="22"/>
          <w:szCs w:val="24"/>
        </w:rPr>
        <w:t>(H-2</w:t>
      </w:r>
      <w:r>
        <w:rPr>
          <w:rFonts w:ascii="Times New Roman" w:cs="Times New Roman"/>
          <w:position w:val="6"/>
          <w:sz w:val="22"/>
          <w:szCs w:val="24"/>
        </w:rPr>
        <w:t>d</w:t>
      </w:r>
      <w:r>
        <w:rPr>
          <w:rFonts w:ascii="Times New Roman" w:cs="Times New Roman"/>
          <w:sz w:val="22"/>
          <w:szCs w:val="24"/>
        </w:rPr>
        <w:t xml:space="preserve">) </w:t>
      </w:r>
      <w:r>
        <w:rPr>
          <w:rFonts w:ascii="Times New Roman" w:cs="Times New Roman"/>
          <w:sz w:val="22"/>
          <w:szCs w:val="24"/>
          <w:lang w:val="es-AR"/>
        </w:rPr>
        <w:t>y EO771 (</w:t>
      </w:r>
      <w:r>
        <w:rPr>
          <w:rFonts w:ascii="Times New Roman" w:cs="Times New Roman"/>
          <w:sz w:val="22"/>
          <w:szCs w:val="24"/>
        </w:rPr>
        <w:t>H-2</w:t>
      </w:r>
      <w:r>
        <w:rPr>
          <w:rFonts w:ascii="Times New Roman" w:cs="Times New Roman"/>
          <w:position w:val="6"/>
          <w:sz w:val="22"/>
          <w:szCs w:val="24"/>
        </w:rPr>
        <w:t>b</w:t>
      </w:r>
      <w:r>
        <w:rPr>
          <w:rFonts w:ascii="Times New Roman" w:cs="Times New Roman"/>
          <w:sz w:val="22"/>
          <w:szCs w:val="24"/>
        </w:rPr>
        <w:t>)</w:t>
      </w:r>
      <w:r>
        <w:rPr>
          <w:rFonts w:ascii="Times New Roman" w:cs="Times New Roman"/>
          <w:sz w:val="22"/>
          <w:szCs w:val="24"/>
          <w:lang w:val="es-AR"/>
        </w:rPr>
        <w:t xml:space="preserve"> y de pulmón </w:t>
      </w:r>
      <w:r>
        <w:rPr>
          <w:rFonts w:ascii="Times New Roman" w:cs="Times New Roman"/>
          <w:sz w:val="22"/>
          <w:szCs w:val="24"/>
          <w:lang w:val="es-AR"/>
        </w:rPr>
        <w:t>LP07 singeneicas con animales BALB/c. A partir de las mismas nos proponemos como objetivos específicos:</w:t>
      </w:r>
    </w:p>
    <w:p w14:paraId="26B7FFDF" w14:textId="77777777" w:rsidR="00000000" w:rsidRDefault="00AA47AD">
      <w:pPr>
        <w:pStyle w:val="NormalWeb"/>
        <w:numPr>
          <w:ilvl w:val="0"/>
          <w:numId w:val="2"/>
        </w:numPr>
        <w:spacing w:before="0" w:after="0" w:line="360" w:lineRule="auto"/>
        <w:ind w:left="709"/>
        <w:jc w:val="both"/>
        <w:rPr>
          <w:rFonts w:cs="Times New Roman"/>
          <w:szCs w:val="24"/>
        </w:rPr>
      </w:pPr>
      <w:r>
        <w:rPr>
          <w:rFonts w:ascii="Times New Roman" w:cs="Times New Roman"/>
          <w:sz w:val="22"/>
          <w:szCs w:val="24"/>
        </w:rPr>
        <w:t xml:space="preserve">Evaluar el potencial terapéutico de los polisacáridos presentes en los extractos crudos de los tallos de las plantas de </w:t>
      </w:r>
      <w:r>
        <w:rPr>
          <w:rFonts w:ascii="Times New Roman" w:cs="Times New Roman"/>
          <w:i/>
          <w:sz w:val="22"/>
          <w:szCs w:val="24"/>
        </w:rPr>
        <w:t>Lotus tenuis</w:t>
      </w:r>
      <w:r>
        <w:rPr>
          <w:rFonts w:ascii="Times New Roman" w:cs="Times New Roman"/>
          <w:sz w:val="22"/>
          <w:szCs w:val="24"/>
        </w:rPr>
        <w:t xml:space="preserve"> obtenidos</w:t>
      </w:r>
      <w:r>
        <w:rPr>
          <w:rFonts w:ascii="Times New Roman" w:cs="Times New Roman"/>
          <w:i/>
          <w:sz w:val="22"/>
          <w:szCs w:val="24"/>
        </w:rPr>
        <w:t xml:space="preserve"> </w:t>
      </w:r>
      <w:r>
        <w:rPr>
          <w:rFonts w:ascii="Times New Roman" w:cs="Times New Roman"/>
          <w:sz w:val="22"/>
          <w:szCs w:val="24"/>
        </w:rPr>
        <w:t>con ag</w:t>
      </w:r>
      <w:r>
        <w:rPr>
          <w:rFonts w:ascii="Times New Roman" w:cs="Times New Roman"/>
          <w:sz w:val="22"/>
          <w:szCs w:val="24"/>
        </w:rPr>
        <w:t xml:space="preserve">ua, soluciones de CDTA y carbonato de sodio </w:t>
      </w:r>
      <w:r>
        <w:rPr>
          <w:rFonts w:ascii="Times New Roman" w:cs="Times New Roman"/>
          <w:i/>
          <w:sz w:val="22"/>
          <w:szCs w:val="24"/>
        </w:rPr>
        <w:t>in vitro</w:t>
      </w:r>
      <w:r>
        <w:rPr>
          <w:rFonts w:ascii="Times New Roman" w:cs="Times New Roman"/>
          <w:sz w:val="22"/>
          <w:szCs w:val="24"/>
        </w:rPr>
        <w:t>. Para ellos determinaremos mediante curvas dosis-respuesta, el efecto antitumoral sobre la viabilidad celular e inducción de apoptosis.</w:t>
      </w:r>
    </w:p>
    <w:p w14:paraId="7BDFE048" w14:textId="77777777" w:rsidR="00000000" w:rsidRDefault="00AA47AD">
      <w:pPr>
        <w:pStyle w:val="NormalWeb"/>
        <w:numPr>
          <w:ilvl w:val="0"/>
          <w:numId w:val="2"/>
        </w:numPr>
        <w:spacing w:before="0" w:after="0" w:line="360" w:lineRule="auto"/>
        <w:jc w:val="both"/>
        <w:rPr>
          <w:rFonts w:cs="Times New Roman"/>
          <w:szCs w:val="24"/>
        </w:rPr>
      </w:pPr>
      <w:r>
        <w:rPr>
          <w:rFonts w:ascii="Times New Roman" w:cs="Times New Roman"/>
          <w:sz w:val="22"/>
          <w:szCs w:val="24"/>
        </w:rPr>
        <w:t>Purificar mediante métodos cromatográficos (cromatografía de per</w:t>
      </w:r>
      <w:r>
        <w:rPr>
          <w:rFonts w:ascii="Times New Roman" w:cs="Times New Roman"/>
          <w:sz w:val="22"/>
          <w:szCs w:val="24"/>
        </w:rPr>
        <w:t xml:space="preserve">meación en geles y de intercambio iónico) y caracterizar los polisacáridos de tallos de </w:t>
      </w:r>
      <w:r>
        <w:rPr>
          <w:rFonts w:ascii="Times New Roman" w:cs="Times New Roman"/>
          <w:i/>
          <w:sz w:val="22"/>
          <w:szCs w:val="24"/>
        </w:rPr>
        <w:t>Lotus tenuis</w:t>
      </w:r>
      <w:r>
        <w:rPr>
          <w:rFonts w:ascii="Times New Roman" w:cs="Times New Roman"/>
          <w:sz w:val="22"/>
          <w:szCs w:val="24"/>
        </w:rPr>
        <w:t xml:space="preserve"> a partir de los extractos que hayan mostrado mejores resultados en los ensayos preliminares de potencial terapéutico.</w:t>
      </w:r>
    </w:p>
    <w:p w14:paraId="56AC14EE" w14:textId="77777777" w:rsidR="00000000" w:rsidRDefault="00AA47AD">
      <w:pPr>
        <w:pStyle w:val="NormalWeb"/>
        <w:numPr>
          <w:ilvl w:val="0"/>
          <w:numId w:val="2"/>
        </w:numPr>
        <w:spacing w:before="0" w:after="0" w:line="360" w:lineRule="auto"/>
        <w:jc w:val="both"/>
        <w:rPr>
          <w:rFonts w:cs="Times New Roman"/>
          <w:szCs w:val="24"/>
        </w:rPr>
      </w:pPr>
      <w:r>
        <w:rPr>
          <w:rFonts w:ascii="Times New Roman" w:cs="Times New Roman"/>
          <w:sz w:val="22"/>
          <w:szCs w:val="24"/>
        </w:rPr>
        <w:lastRenderedPageBreak/>
        <w:t xml:space="preserve">Evaluar similitudes y diferencias </w:t>
      </w:r>
      <w:r>
        <w:rPr>
          <w:rFonts w:ascii="Times New Roman" w:cs="Times New Roman"/>
          <w:sz w:val="22"/>
          <w:szCs w:val="24"/>
        </w:rPr>
        <w:t xml:space="preserve">en la acción antitumoral </w:t>
      </w:r>
      <w:r>
        <w:rPr>
          <w:rFonts w:ascii="Times New Roman" w:cs="Times New Roman"/>
          <w:i/>
          <w:sz w:val="22"/>
          <w:szCs w:val="24"/>
        </w:rPr>
        <w:t>in vitro</w:t>
      </w:r>
      <w:r>
        <w:rPr>
          <w:rFonts w:ascii="Times New Roman" w:cs="Times New Roman"/>
          <w:sz w:val="22"/>
          <w:szCs w:val="24"/>
        </w:rPr>
        <w:t xml:space="preserve"> (ver ítem 1) de los polisacáridos purificados entre los tallos de las plantas control y los de las que sufrieron el estrés salino.</w:t>
      </w:r>
    </w:p>
    <w:p w14:paraId="22ABC228" w14:textId="77777777" w:rsidR="00000000" w:rsidRDefault="00AA47AD">
      <w:pPr>
        <w:pStyle w:val="NormalWeb"/>
        <w:numPr>
          <w:ilvl w:val="0"/>
          <w:numId w:val="2"/>
        </w:numPr>
        <w:spacing w:before="0" w:after="0" w:line="360" w:lineRule="auto"/>
        <w:jc w:val="both"/>
        <w:rPr>
          <w:rFonts w:cs="Times New Roman"/>
          <w:szCs w:val="24"/>
        </w:rPr>
      </w:pPr>
      <w:r>
        <w:rPr>
          <w:rFonts w:ascii="Times New Roman" w:cs="Times New Roman"/>
          <w:sz w:val="22"/>
          <w:szCs w:val="24"/>
        </w:rPr>
        <w:t xml:space="preserve">Confirmar el potencial terapéutico de las fracciones activas en modelos tumorales </w:t>
      </w:r>
      <w:r>
        <w:rPr>
          <w:rFonts w:ascii="Times New Roman" w:cs="Times New Roman"/>
          <w:i/>
          <w:sz w:val="22"/>
          <w:szCs w:val="24"/>
        </w:rPr>
        <w:t>in viv</w:t>
      </w:r>
      <w:r>
        <w:rPr>
          <w:rFonts w:ascii="Times New Roman" w:cs="Times New Roman"/>
          <w:i/>
          <w:sz w:val="22"/>
          <w:szCs w:val="24"/>
        </w:rPr>
        <w:t>o</w:t>
      </w:r>
      <w:r>
        <w:rPr>
          <w:rFonts w:ascii="Times New Roman" w:cs="Times New Roman"/>
          <w:sz w:val="22"/>
          <w:szCs w:val="24"/>
        </w:rPr>
        <w:t xml:space="preserve"> evaluando la inmunidad antitumoral. Para ello inocularemos s.c. las células tumorales antes mencionadas en ratones singeneicos, a fin de obtener tumores sólidos y se llevarán adelante los siguientes estudios que permitirán evaluar el comportamiento bioló</w:t>
      </w:r>
      <w:r>
        <w:rPr>
          <w:rFonts w:ascii="Times New Roman" w:cs="Times New Roman"/>
          <w:sz w:val="22"/>
          <w:szCs w:val="24"/>
        </w:rPr>
        <w:t xml:space="preserve">gico de los tumores </w:t>
      </w:r>
    </w:p>
    <w:p w14:paraId="32444E40" w14:textId="77777777" w:rsidR="00000000" w:rsidRDefault="00AA47AD">
      <w:pPr>
        <w:pStyle w:val="NormalWeb"/>
        <w:numPr>
          <w:ilvl w:val="1"/>
          <w:numId w:val="2"/>
        </w:numPr>
        <w:spacing w:before="0" w:after="0" w:line="360" w:lineRule="auto"/>
        <w:jc w:val="both"/>
        <w:rPr>
          <w:rFonts w:cs="Times New Roman"/>
          <w:szCs w:val="24"/>
        </w:rPr>
      </w:pPr>
      <w:r>
        <w:rPr>
          <w:rFonts w:ascii="Times New Roman" w:cs="Times New Roman"/>
          <w:sz w:val="22"/>
          <w:szCs w:val="24"/>
        </w:rPr>
        <w:t>Evaluación del crecimiento tumoral e identificación de marcadores de proliferación y/o apoptosis celular.</w:t>
      </w:r>
    </w:p>
    <w:p w14:paraId="017ABF4D" w14:textId="77777777" w:rsidR="00000000" w:rsidRDefault="00AA47AD">
      <w:pPr>
        <w:pStyle w:val="NormalWeb"/>
        <w:numPr>
          <w:ilvl w:val="1"/>
          <w:numId w:val="2"/>
        </w:numPr>
        <w:spacing w:before="0" w:after="0" w:line="360" w:lineRule="auto"/>
        <w:jc w:val="both"/>
        <w:rPr>
          <w:rFonts w:cs="Times New Roman"/>
          <w:szCs w:val="24"/>
        </w:rPr>
      </w:pPr>
      <w:r>
        <w:rPr>
          <w:rFonts w:ascii="Times New Roman" w:cs="Times New Roman"/>
          <w:sz w:val="22"/>
          <w:szCs w:val="24"/>
        </w:rPr>
        <w:t>Análisis del desarrollo de metástasis espontáneas en aquellos tumores que así lo permitan.</w:t>
      </w:r>
    </w:p>
    <w:p w14:paraId="5D099C7A" w14:textId="77777777" w:rsidR="00000000" w:rsidRDefault="00AA47AD">
      <w:pPr>
        <w:pStyle w:val="NormalWeb"/>
        <w:numPr>
          <w:ilvl w:val="1"/>
          <w:numId w:val="2"/>
        </w:numPr>
        <w:spacing w:before="0" w:line="360" w:lineRule="auto"/>
        <w:jc w:val="both"/>
        <w:rPr>
          <w:rFonts w:cs="Times New Roman"/>
          <w:szCs w:val="24"/>
        </w:rPr>
      </w:pPr>
      <w:r>
        <w:rPr>
          <w:rFonts w:ascii="Times New Roman" w:cs="Times New Roman"/>
          <w:sz w:val="22"/>
          <w:szCs w:val="24"/>
        </w:rPr>
        <w:t>Evaluar la acción de la</w:t>
      </w:r>
      <w:r>
        <w:rPr>
          <w:rFonts w:ascii="Times New Roman" w:cs="Times New Roman"/>
          <w:sz w:val="22"/>
          <w:szCs w:val="24"/>
        </w:rPr>
        <w:t>s fracciones activas sobre la inmunidad antitumoral, es decir sobre el balance entre el contenido de células efectoras (NK, Tc) y de aquellas con actividad inmunosupresora (Treg, MDSC) dentro del infiltrado tumoral, en ganglios drenantes y no drenantes del</w:t>
      </w:r>
      <w:r>
        <w:rPr>
          <w:rFonts w:ascii="Times New Roman" w:cs="Times New Roman"/>
          <w:sz w:val="22"/>
          <w:szCs w:val="24"/>
        </w:rPr>
        <w:t xml:space="preserve"> tumor y en bazo de animales portadores de tumores singeneicos. Estos resultados nos permitirán evidenciar si los polisacáridos evitan el desarrollo de células supresoras que facilitarían el desarrollo y la diseminación del tumor. </w:t>
      </w:r>
    </w:p>
    <w:p w14:paraId="54C4D44E" w14:textId="77777777" w:rsidR="00000000" w:rsidRDefault="00AA47AD">
      <w:pPr>
        <w:pStyle w:val="Predeterminado"/>
        <w:spacing w:line="360" w:lineRule="auto"/>
        <w:jc w:val="both"/>
      </w:pPr>
    </w:p>
    <w:p w14:paraId="1E118D6E" w14:textId="77777777" w:rsidR="00000000" w:rsidRDefault="00AA47AD">
      <w:pPr>
        <w:pStyle w:val="Predeterminado"/>
        <w:spacing w:line="360" w:lineRule="auto"/>
        <w:jc w:val="both"/>
      </w:pPr>
      <w:r>
        <w:rPr>
          <w:b/>
          <w:color w:val="000000"/>
          <w:sz w:val="22"/>
          <w:lang w:val="es-AR"/>
        </w:rPr>
        <w:t xml:space="preserve">3.5 Metodología </w:t>
      </w:r>
    </w:p>
    <w:p w14:paraId="226B6751" w14:textId="77777777" w:rsidR="00000000" w:rsidRDefault="00AA47AD">
      <w:pPr>
        <w:pStyle w:val="Predeterminado"/>
        <w:spacing w:before="280" w:after="280" w:line="360" w:lineRule="auto"/>
        <w:jc w:val="both"/>
      </w:pPr>
      <w:r>
        <w:rPr>
          <w:b/>
          <w:color w:val="000000"/>
          <w:sz w:val="22"/>
          <w:lang w:val="es-ES"/>
        </w:rPr>
        <w:t xml:space="preserve">3.5.1. Material utilizado </w:t>
      </w:r>
    </w:p>
    <w:p w14:paraId="0D67444D" w14:textId="77777777" w:rsidR="00000000" w:rsidRDefault="00AA47AD">
      <w:pPr>
        <w:pStyle w:val="Predeterminado"/>
        <w:spacing w:before="280" w:after="280" w:line="360" w:lineRule="auto"/>
        <w:ind w:firstLine="720"/>
        <w:jc w:val="both"/>
      </w:pPr>
      <w:r>
        <w:rPr>
          <w:color w:val="000000"/>
          <w:sz w:val="22"/>
          <w:lang w:val="es-ES"/>
        </w:rPr>
        <w:t xml:space="preserve">Los polisacáridos pécticos se obtuvieron de plantas obtenidas a partir de semillas de la especie </w:t>
      </w:r>
      <w:r>
        <w:rPr>
          <w:i/>
          <w:color w:val="000000"/>
          <w:sz w:val="22"/>
          <w:lang w:val="es-ES"/>
        </w:rPr>
        <w:t xml:space="preserve">Lotus tenuis </w:t>
      </w:r>
      <w:r>
        <w:rPr>
          <w:color w:val="000000"/>
          <w:sz w:val="22"/>
          <w:lang w:val="es-ES"/>
        </w:rPr>
        <w:t>(Wal</w:t>
      </w:r>
      <w:r>
        <w:rPr>
          <w:color w:val="000000"/>
          <w:sz w:val="22"/>
          <w:lang w:val="es-ES"/>
        </w:rPr>
        <w:t>dst. and Kit., syn. L. glaber) pertenecientes a una familia de medios hermanos (FMH) caracterizada por su susceptibilidad frente al estre</w:t>
      </w:r>
      <w:r>
        <w:rPr>
          <w:color w:val="000000"/>
          <w:sz w:val="22"/>
          <w:lang w:val="es-ES"/>
        </w:rPr>
        <w:t>́</w:t>
      </w:r>
      <w:r>
        <w:rPr>
          <w:color w:val="000000"/>
          <w:sz w:val="22"/>
          <w:lang w:val="es-ES"/>
        </w:rPr>
        <w:t>s salino: FMH 490 (Franco, 2012) y fueron cedidas gentilmente por la Estacio</w:t>
      </w:r>
      <w:r>
        <w:rPr>
          <w:color w:val="000000"/>
          <w:sz w:val="22"/>
          <w:lang w:val="es-ES"/>
        </w:rPr>
        <w:t>́</w:t>
      </w:r>
      <w:r>
        <w:rPr>
          <w:color w:val="000000"/>
          <w:sz w:val="22"/>
          <w:lang w:val="es-ES"/>
        </w:rPr>
        <w:t>n Experimental Agropecuaria Pergamino del</w:t>
      </w:r>
      <w:r>
        <w:rPr>
          <w:color w:val="000000"/>
          <w:sz w:val="22"/>
          <w:lang w:val="es-ES"/>
        </w:rPr>
        <w:t xml:space="preserve"> INTA. </w:t>
      </w:r>
    </w:p>
    <w:p w14:paraId="4DB40873" w14:textId="77777777" w:rsidR="00000000" w:rsidRDefault="00AA47AD">
      <w:pPr>
        <w:pStyle w:val="Predeterminado"/>
        <w:spacing w:before="280" w:after="280" w:line="360" w:lineRule="auto"/>
        <w:jc w:val="both"/>
      </w:pPr>
      <w:r>
        <w:rPr>
          <w:b/>
          <w:color w:val="000000"/>
          <w:sz w:val="22"/>
          <w:lang w:val="es-ES"/>
        </w:rPr>
        <w:t>3.5.2 Germinacio</w:t>
      </w:r>
      <w:r>
        <w:rPr>
          <w:b/>
          <w:color w:val="000000"/>
          <w:sz w:val="22"/>
          <w:lang w:val="es-ES"/>
        </w:rPr>
        <w:t>́</w:t>
      </w:r>
      <w:r>
        <w:rPr>
          <w:b/>
          <w:color w:val="000000"/>
          <w:sz w:val="22"/>
          <w:lang w:val="es-ES"/>
        </w:rPr>
        <w:t xml:space="preserve">n, bandejas y transplante en macetas </w:t>
      </w:r>
    </w:p>
    <w:p w14:paraId="0EB512C0" w14:textId="77777777" w:rsidR="00000000" w:rsidRDefault="00AA47AD">
      <w:pPr>
        <w:pStyle w:val="Predeterminado"/>
        <w:spacing w:before="280" w:after="280" w:line="360" w:lineRule="auto"/>
        <w:ind w:firstLine="720"/>
        <w:jc w:val="both"/>
      </w:pPr>
      <w:r>
        <w:rPr>
          <w:color w:val="000000"/>
          <w:sz w:val="22"/>
          <w:lang w:val="es-ES"/>
        </w:rPr>
        <w:t>El experimento realizado para la obtención de las plantas para evaluar el estre</w:t>
      </w:r>
      <w:r>
        <w:rPr>
          <w:color w:val="000000"/>
          <w:sz w:val="22"/>
          <w:lang w:val="es-ES"/>
        </w:rPr>
        <w:t>́</w:t>
      </w:r>
      <w:r>
        <w:rPr>
          <w:color w:val="000000"/>
          <w:sz w:val="22"/>
          <w:lang w:val="es-ES"/>
        </w:rPr>
        <w:t>s salino se llevó adelante inicialmente en el laboratorio y luego bajo inverna</w:t>
      </w:r>
      <w:r>
        <w:rPr>
          <w:color w:val="000000"/>
          <w:sz w:val="22"/>
          <w:lang w:val="es-ES"/>
        </w:rPr>
        <w:t>́</w:t>
      </w:r>
      <w:r>
        <w:rPr>
          <w:color w:val="000000"/>
          <w:sz w:val="22"/>
          <w:lang w:val="es-ES"/>
        </w:rPr>
        <w:t>culo. Una vez escarificadas, las s</w:t>
      </w:r>
      <w:r>
        <w:rPr>
          <w:color w:val="000000"/>
          <w:sz w:val="22"/>
          <w:lang w:val="es-ES"/>
        </w:rPr>
        <w:t>emillas fueron colocadas en cajas de Petri a razo</w:t>
      </w:r>
      <w:r>
        <w:rPr>
          <w:color w:val="000000"/>
          <w:sz w:val="22"/>
          <w:lang w:val="es-ES"/>
        </w:rPr>
        <w:t>́</w:t>
      </w:r>
      <w:r>
        <w:rPr>
          <w:color w:val="000000"/>
          <w:sz w:val="22"/>
          <w:lang w:val="es-ES"/>
        </w:rPr>
        <w:t>n de 15-20 semillas por caja con dos hojas de papel de filtro humedecido con agua destilada. Estas cajas fueron colocadas de a cinco, en bolsas tipo “ziploc” dentro de una ca</w:t>
      </w:r>
      <w:r>
        <w:rPr>
          <w:color w:val="000000"/>
          <w:sz w:val="22"/>
          <w:lang w:val="es-ES"/>
        </w:rPr>
        <w:t>́</w:t>
      </w:r>
      <w:r>
        <w:rPr>
          <w:color w:val="000000"/>
          <w:sz w:val="22"/>
          <w:lang w:val="es-ES"/>
        </w:rPr>
        <w:t>mara de germinacio</w:t>
      </w:r>
      <w:r>
        <w:rPr>
          <w:color w:val="000000"/>
          <w:sz w:val="22"/>
          <w:lang w:val="es-ES"/>
        </w:rPr>
        <w:t>́</w:t>
      </w:r>
      <w:r>
        <w:rPr>
          <w:color w:val="000000"/>
          <w:sz w:val="22"/>
          <w:lang w:val="es-ES"/>
        </w:rPr>
        <w:t xml:space="preserve">n a 25°C de </w:t>
      </w:r>
      <w:r>
        <w:rPr>
          <w:color w:val="000000"/>
          <w:sz w:val="22"/>
          <w:lang w:val="es-ES"/>
        </w:rPr>
        <w:t>temperatura constante y 24 hs de luz (200lmolm2s1) suministrada con la</w:t>
      </w:r>
      <w:r>
        <w:rPr>
          <w:color w:val="000000"/>
          <w:sz w:val="22"/>
          <w:lang w:val="es-ES"/>
        </w:rPr>
        <w:t>́</w:t>
      </w:r>
      <w:r>
        <w:rPr>
          <w:color w:val="000000"/>
          <w:sz w:val="22"/>
          <w:lang w:val="es-ES"/>
        </w:rPr>
        <w:t>mparas Grolux fluorescentes (F 40 W). Las pla</w:t>
      </w:r>
      <w:r>
        <w:rPr>
          <w:color w:val="000000"/>
          <w:sz w:val="22"/>
          <w:lang w:val="es-ES"/>
        </w:rPr>
        <w:t>́</w:t>
      </w:r>
      <w:r>
        <w:rPr>
          <w:color w:val="000000"/>
          <w:sz w:val="22"/>
          <w:lang w:val="es-ES"/>
        </w:rPr>
        <w:t xml:space="preserve">ntulas logradas se colocaron en bandejas </w:t>
      </w:r>
      <w:r>
        <w:rPr>
          <w:color w:val="000000"/>
          <w:sz w:val="22"/>
          <w:lang w:val="es-ES"/>
        </w:rPr>
        <w:lastRenderedPageBreak/>
        <w:t>de germinacio</w:t>
      </w:r>
      <w:r>
        <w:rPr>
          <w:color w:val="000000"/>
          <w:sz w:val="22"/>
          <w:lang w:val="es-ES"/>
        </w:rPr>
        <w:t>́</w:t>
      </w:r>
      <w:r>
        <w:rPr>
          <w:color w:val="000000"/>
          <w:sz w:val="22"/>
          <w:lang w:val="es-ES"/>
        </w:rPr>
        <w:t>n con un sustrato de compost orga</w:t>
      </w:r>
      <w:r>
        <w:rPr>
          <w:color w:val="000000"/>
          <w:sz w:val="22"/>
          <w:lang w:val="es-ES"/>
        </w:rPr>
        <w:t>́</w:t>
      </w:r>
      <w:r>
        <w:rPr>
          <w:color w:val="000000"/>
          <w:sz w:val="22"/>
          <w:lang w:val="es-ES"/>
        </w:rPr>
        <w:t>nico y perlita con suministro de 24 hs de luz arti</w:t>
      </w:r>
      <w:r>
        <w:rPr>
          <w:color w:val="000000"/>
          <w:sz w:val="22"/>
          <w:lang w:val="es-ES"/>
        </w:rPr>
        <w:t>ficial (400 watts) y riego diario por aspersio</w:t>
      </w:r>
      <w:r>
        <w:rPr>
          <w:color w:val="000000"/>
          <w:sz w:val="22"/>
          <w:lang w:val="es-ES"/>
        </w:rPr>
        <w:t>́</w:t>
      </w:r>
      <w:r>
        <w:rPr>
          <w:color w:val="000000"/>
          <w:sz w:val="22"/>
          <w:lang w:val="es-ES"/>
        </w:rPr>
        <w:t>n manual con agua corriente. Cuando las rai</w:t>
      </w:r>
      <w:r>
        <w:rPr>
          <w:color w:val="000000"/>
          <w:sz w:val="22"/>
          <w:lang w:val="es-ES"/>
        </w:rPr>
        <w:t>́</w:t>
      </w:r>
      <w:r>
        <w:rPr>
          <w:color w:val="000000"/>
          <w:sz w:val="22"/>
          <w:lang w:val="es-ES"/>
        </w:rPr>
        <w:t>ces fueron visibles bajo las bandejas, e</w:t>
      </w:r>
      <w:r>
        <w:rPr>
          <w:color w:val="000000"/>
          <w:sz w:val="22"/>
          <w:lang w:val="es-ES"/>
        </w:rPr>
        <w:t>́</w:t>
      </w:r>
      <w:r>
        <w:rPr>
          <w:color w:val="000000"/>
          <w:sz w:val="22"/>
          <w:lang w:val="es-ES"/>
        </w:rPr>
        <w:t>stas se llevaron al inverna</w:t>
      </w:r>
      <w:r>
        <w:rPr>
          <w:color w:val="000000"/>
          <w:sz w:val="22"/>
          <w:lang w:val="es-ES"/>
        </w:rPr>
        <w:t>́</w:t>
      </w:r>
      <w:r>
        <w:rPr>
          <w:color w:val="000000"/>
          <w:sz w:val="22"/>
          <w:lang w:val="es-ES"/>
        </w:rPr>
        <w:t>culo, y dos di</w:t>
      </w:r>
      <w:r>
        <w:rPr>
          <w:color w:val="000000"/>
          <w:sz w:val="22"/>
          <w:lang w:val="es-ES"/>
        </w:rPr>
        <w:t>́</w:t>
      </w:r>
      <w:r>
        <w:rPr>
          <w:color w:val="000000"/>
          <w:sz w:val="22"/>
          <w:lang w:val="es-ES"/>
        </w:rPr>
        <w:t>as despue</w:t>
      </w:r>
      <w:r>
        <w:rPr>
          <w:color w:val="000000"/>
          <w:sz w:val="22"/>
          <w:lang w:val="es-ES"/>
        </w:rPr>
        <w:t>́</w:t>
      </w:r>
      <w:r>
        <w:rPr>
          <w:color w:val="000000"/>
          <w:sz w:val="22"/>
          <w:lang w:val="es-ES"/>
        </w:rPr>
        <w:t>s se transplantaron las pla</w:t>
      </w:r>
      <w:r>
        <w:rPr>
          <w:color w:val="000000"/>
          <w:sz w:val="22"/>
          <w:lang w:val="es-ES"/>
        </w:rPr>
        <w:t>́</w:t>
      </w:r>
      <w:r>
        <w:rPr>
          <w:color w:val="000000"/>
          <w:sz w:val="22"/>
          <w:lang w:val="es-ES"/>
        </w:rPr>
        <w:t>ntulas a macetas de 20 cm de dia</w:t>
      </w:r>
      <w:r>
        <w:rPr>
          <w:color w:val="000000"/>
          <w:sz w:val="22"/>
          <w:lang w:val="es-ES"/>
        </w:rPr>
        <w:t>́</w:t>
      </w:r>
      <w:r>
        <w:rPr>
          <w:color w:val="000000"/>
          <w:sz w:val="22"/>
          <w:lang w:val="es-ES"/>
        </w:rPr>
        <w:t>metro y 2.</w:t>
      </w:r>
      <w:r>
        <w:rPr>
          <w:color w:val="000000"/>
          <w:sz w:val="22"/>
          <w:lang w:val="es-ES"/>
        </w:rPr>
        <w:t>56 l de capacidad, previamente preparadas con un sustrato de compost orga</w:t>
      </w:r>
      <w:r>
        <w:rPr>
          <w:color w:val="000000"/>
          <w:sz w:val="22"/>
          <w:lang w:val="es-ES"/>
        </w:rPr>
        <w:t>́</w:t>
      </w:r>
      <w:r>
        <w:rPr>
          <w:color w:val="000000"/>
          <w:sz w:val="22"/>
          <w:lang w:val="es-ES"/>
        </w:rPr>
        <w:t>nico (Bertinat) y perlita (4:1). Se colocaron 5 pla</w:t>
      </w:r>
      <w:r>
        <w:rPr>
          <w:color w:val="000000"/>
          <w:sz w:val="22"/>
          <w:lang w:val="es-ES"/>
        </w:rPr>
        <w:t>́</w:t>
      </w:r>
      <w:r>
        <w:rPr>
          <w:color w:val="000000"/>
          <w:sz w:val="22"/>
          <w:lang w:val="es-ES"/>
        </w:rPr>
        <w:t>ntulas por maceta y se dispusieron 5 macetas en cada bandeja. Para evaluar los efectos del estre</w:t>
      </w:r>
      <w:r>
        <w:rPr>
          <w:color w:val="000000"/>
          <w:sz w:val="22"/>
          <w:lang w:val="es-ES"/>
        </w:rPr>
        <w:t>́</w:t>
      </w:r>
      <w:r>
        <w:rPr>
          <w:color w:val="000000"/>
          <w:sz w:val="22"/>
          <w:lang w:val="es-ES"/>
        </w:rPr>
        <w:t>s salino se trabajo</w:t>
      </w:r>
      <w:r>
        <w:rPr>
          <w:color w:val="000000"/>
          <w:sz w:val="22"/>
          <w:lang w:val="es-ES"/>
        </w:rPr>
        <w:t>́</w:t>
      </w:r>
      <w:r>
        <w:rPr>
          <w:color w:val="000000"/>
          <w:sz w:val="22"/>
          <w:lang w:val="es-ES"/>
        </w:rPr>
        <w:t xml:space="preserve"> con 550 plan</w:t>
      </w:r>
      <w:r>
        <w:rPr>
          <w:color w:val="000000"/>
          <w:sz w:val="22"/>
          <w:lang w:val="es-ES"/>
        </w:rPr>
        <w:t>tas que se dividieron en dos grupos: 1. Un grupo testigo control, sin aplicacio</w:t>
      </w:r>
      <w:r>
        <w:rPr>
          <w:color w:val="000000"/>
          <w:sz w:val="22"/>
          <w:lang w:val="es-ES"/>
        </w:rPr>
        <w:t>́</w:t>
      </w:r>
      <w:r>
        <w:rPr>
          <w:color w:val="000000"/>
          <w:sz w:val="22"/>
          <w:lang w:val="es-ES"/>
        </w:rPr>
        <w:t>n de NaCl en el riego. 2. Un grupo llamado “dosis 2” que fue regado con una solucio</w:t>
      </w:r>
      <w:r>
        <w:rPr>
          <w:color w:val="000000"/>
          <w:sz w:val="22"/>
          <w:lang w:val="es-ES"/>
        </w:rPr>
        <w:t>́</w:t>
      </w:r>
      <w:r>
        <w:rPr>
          <w:color w:val="000000"/>
          <w:sz w:val="22"/>
          <w:lang w:val="es-ES"/>
        </w:rPr>
        <w:t xml:space="preserve">n 150 mM NaCl. Las plantas fueron regadas con agua corriente hasta el estado de cuarta hoja </w:t>
      </w:r>
      <w:r>
        <w:rPr>
          <w:color w:val="000000"/>
          <w:sz w:val="22"/>
          <w:lang w:val="es-ES"/>
        </w:rPr>
        <w:t>pentafoliada desplegada para garantizar un mejor desarrollo de las plantas. Cuando las plantas alcanzaron el estado de cuarta hoja pentafoliada desplegada, se comenzaron a aplicar los distintos tratamientos, en funcio</w:t>
      </w:r>
      <w:r>
        <w:rPr>
          <w:color w:val="000000"/>
          <w:sz w:val="22"/>
          <w:lang w:val="es-ES"/>
        </w:rPr>
        <w:t>́</w:t>
      </w:r>
      <w:r>
        <w:rPr>
          <w:color w:val="000000"/>
          <w:sz w:val="22"/>
          <w:lang w:val="es-ES"/>
        </w:rPr>
        <w:t>n del agua de riego utilizada. El trat</w:t>
      </w:r>
      <w:r>
        <w:rPr>
          <w:color w:val="000000"/>
          <w:sz w:val="22"/>
          <w:lang w:val="es-ES"/>
        </w:rPr>
        <w:t>amiento salino se aplico</w:t>
      </w:r>
      <w:r>
        <w:rPr>
          <w:color w:val="000000"/>
          <w:sz w:val="22"/>
          <w:lang w:val="es-ES"/>
        </w:rPr>
        <w:t>́</w:t>
      </w:r>
      <w:r>
        <w:rPr>
          <w:color w:val="000000"/>
          <w:sz w:val="22"/>
          <w:lang w:val="es-ES"/>
        </w:rPr>
        <w:t xml:space="preserve"> durante 62 di</w:t>
      </w:r>
      <w:r>
        <w:rPr>
          <w:color w:val="000000"/>
          <w:sz w:val="22"/>
          <w:lang w:val="es-ES"/>
        </w:rPr>
        <w:t>́</w:t>
      </w:r>
      <w:r>
        <w:rPr>
          <w:color w:val="000000"/>
          <w:sz w:val="22"/>
          <w:lang w:val="es-ES"/>
        </w:rPr>
        <w:t>as. La cosecha de las plantas se realizo</w:t>
      </w:r>
      <w:r>
        <w:rPr>
          <w:color w:val="000000"/>
          <w:sz w:val="22"/>
          <w:lang w:val="es-ES"/>
        </w:rPr>
        <w:t>́</w:t>
      </w:r>
      <w:r>
        <w:rPr>
          <w:color w:val="000000"/>
          <w:sz w:val="22"/>
          <w:lang w:val="es-ES"/>
        </w:rPr>
        <w:t xml:space="preserve"> al evidenciar la aparicio</w:t>
      </w:r>
      <w:r>
        <w:rPr>
          <w:color w:val="000000"/>
          <w:sz w:val="22"/>
          <w:lang w:val="es-ES"/>
        </w:rPr>
        <w:t>́</w:t>
      </w:r>
      <w:r>
        <w:rPr>
          <w:color w:val="000000"/>
          <w:sz w:val="22"/>
          <w:lang w:val="es-ES"/>
        </w:rPr>
        <w:t>n de la primera flor. Luego, se determino</w:t>
      </w:r>
      <w:r>
        <w:rPr>
          <w:color w:val="000000"/>
          <w:sz w:val="22"/>
          <w:lang w:val="es-ES"/>
        </w:rPr>
        <w:t>́</w:t>
      </w:r>
      <w:r>
        <w:rPr>
          <w:color w:val="000000"/>
          <w:sz w:val="22"/>
          <w:lang w:val="es-ES"/>
        </w:rPr>
        <w:t xml:space="preserve"> el porcentaje de materia seca de los tallos por secado a 65°C hasta peso constante en estufa a aire forza</w:t>
      </w:r>
      <w:r>
        <w:rPr>
          <w:color w:val="000000"/>
          <w:sz w:val="22"/>
          <w:lang w:val="es-ES"/>
        </w:rPr>
        <w:t xml:space="preserve">do. </w:t>
      </w:r>
    </w:p>
    <w:p w14:paraId="539D0399" w14:textId="77777777" w:rsidR="00000000" w:rsidRDefault="00AA47AD">
      <w:pPr>
        <w:pStyle w:val="Predeterminado"/>
        <w:spacing w:before="280" w:after="280" w:line="360" w:lineRule="auto"/>
        <w:jc w:val="both"/>
      </w:pPr>
      <w:r>
        <w:rPr>
          <w:b/>
          <w:color w:val="000000"/>
          <w:sz w:val="22"/>
          <w:lang w:val="es-ES"/>
        </w:rPr>
        <w:t>3.5.3 Extraccio</w:t>
      </w:r>
      <w:r>
        <w:rPr>
          <w:b/>
          <w:color w:val="000000"/>
          <w:sz w:val="22"/>
          <w:lang w:val="es-ES"/>
        </w:rPr>
        <w:t>́</w:t>
      </w:r>
      <w:r>
        <w:rPr>
          <w:b/>
          <w:color w:val="000000"/>
          <w:sz w:val="22"/>
          <w:lang w:val="es-ES"/>
        </w:rPr>
        <w:t>n de los polisaca</w:t>
      </w:r>
      <w:r>
        <w:rPr>
          <w:b/>
          <w:color w:val="000000"/>
          <w:sz w:val="22"/>
          <w:lang w:val="es-ES"/>
        </w:rPr>
        <w:t>́</w:t>
      </w:r>
      <w:r>
        <w:rPr>
          <w:b/>
          <w:color w:val="000000"/>
          <w:sz w:val="22"/>
          <w:lang w:val="es-ES"/>
        </w:rPr>
        <w:t xml:space="preserve">ridos de la pared celular </w:t>
      </w:r>
    </w:p>
    <w:p w14:paraId="499FF918" w14:textId="77777777" w:rsidR="00000000" w:rsidRDefault="00AA47AD">
      <w:pPr>
        <w:pStyle w:val="Predeterminado"/>
        <w:spacing w:before="280" w:after="280" w:line="360" w:lineRule="auto"/>
        <w:ind w:firstLine="720"/>
        <w:jc w:val="both"/>
      </w:pPr>
      <w:r>
        <w:rPr>
          <w:color w:val="000000"/>
          <w:sz w:val="22"/>
          <w:lang w:val="es-ES"/>
        </w:rPr>
        <w:t>Se realizo</w:t>
      </w:r>
      <w:r>
        <w:rPr>
          <w:color w:val="000000"/>
          <w:sz w:val="22"/>
          <w:lang w:val="es-ES"/>
        </w:rPr>
        <w:t>́</w:t>
      </w:r>
      <w:r>
        <w:rPr>
          <w:color w:val="000000"/>
          <w:sz w:val="22"/>
          <w:lang w:val="es-ES"/>
        </w:rPr>
        <w:t xml:space="preserve"> la extraccio</w:t>
      </w:r>
      <w:r>
        <w:rPr>
          <w:color w:val="000000"/>
          <w:sz w:val="22"/>
          <w:lang w:val="es-ES"/>
        </w:rPr>
        <w:t>́</w:t>
      </w:r>
      <w:r>
        <w:rPr>
          <w:color w:val="000000"/>
          <w:sz w:val="22"/>
          <w:lang w:val="es-ES"/>
        </w:rPr>
        <w:t>n de los polisaca</w:t>
      </w:r>
      <w:r>
        <w:rPr>
          <w:color w:val="000000"/>
          <w:sz w:val="22"/>
          <w:lang w:val="es-ES"/>
        </w:rPr>
        <w:t>́</w:t>
      </w:r>
      <w:r>
        <w:rPr>
          <w:color w:val="000000"/>
          <w:sz w:val="22"/>
          <w:lang w:val="es-ES"/>
        </w:rPr>
        <w:t>ridos de las paredes celulares de los tallos secos y molidos (2mm) en forma secuencial siguiendo el procedimiento esta</w:t>
      </w:r>
      <w:r>
        <w:rPr>
          <w:color w:val="000000"/>
          <w:sz w:val="22"/>
          <w:lang w:val="es-ES"/>
        </w:rPr>
        <w:t>́</w:t>
      </w:r>
      <w:r>
        <w:rPr>
          <w:color w:val="000000"/>
          <w:sz w:val="22"/>
          <w:lang w:val="es-ES"/>
        </w:rPr>
        <w:t>ndar (Fry 1998). Para extrae</w:t>
      </w:r>
      <w:r>
        <w:rPr>
          <w:color w:val="000000"/>
          <w:sz w:val="22"/>
          <w:lang w:val="es-ES"/>
        </w:rPr>
        <w:t>r los pigmentos y compuestos de bajo peso molecular, se efectuo</w:t>
      </w:r>
      <w:r>
        <w:rPr>
          <w:color w:val="000000"/>
          <w:sz w:val="22"/>
          <w:lang w:val="es-ES"/>
        </w:rPr>
        <w:t>́</w:t>
      </w:r>
      <w:r>
        <w:rPr>
          <w:color w:val="000000"/>
          <w:sz w:val="22"/>
          <w:lang w:val="es-ES"/>
        </w:rPr>
        <w:t xml:space="preserve"> una extraccio</w:t>
      </w:r>
      <w:r>
        <w:rPr>
          <w:color w:val="000000"/>
          <w:sz w:val="22"/>
          <w:lang w:val="es-ES"/>
        </w:rPr>
        <w:t>́</w:t>
      </w:r>
      <w:r>
        <w:rPr>
          <w:color w:val="000000"/>
          <w:sz w:val="22"/>
          <w:lang w:val="es-ES"/>
        </w:rPr>
        <w:t>n con etanol (20g/150 ml) durante una hora en dos oportunidades consecutivas a temperatura ambiente. La suspensio</w:t>
      </w:r>
      <w:r>
        <w:rPr>
          <w:color w:val="000000"/>
          <w:sz w:val="22"/>
          <w:lang w:val="es-ES"/>
        </w:rPr>
        <w:t>́</w:t>
      </w:r>
      <w:r>
        <w:rPr>
          <w:color w:val="000000"/>
          <w:sz w:val="22"/>
          <w:lang w:val="es-ES"/>
        </w:rPr>
        <w:t xml:space="preserve">n obtenida fue centrifugada a 8000 rpm a 4 </w:t>
      </w:r>
      <w:r>
        <w:rPr>
          <w:rFonts w:ascii="Symbol"/>
          <w:color w:val="000000"/>
          <w:sz w:val="22"/>
          <w:lang w:val="es-ES"/>
        </w:rPr>
        <w:t></w:t>
      </w:r>
      <w:r>
        <w:rPr>
          <w:color w:val="000000"/>
          <w:sz w:val="22"/>
          <w:lang w:val="es-ES"/>
        </w:rPr>
        <w:t xml:space="preserve">C (Hermle Z 323 K, </w:t>
      </w:r>
      <w:r>
        <w:rPr>
          <w:color w:val="000000"/>
          <w:sz w:val="22"/>
          <w:lang w:val="es-ES"/>
        </w:rPr>
        <w:t>Germany), obteniendo un residuo, y dos sobrenadantes que se descartaron. El residuo fue extrai</w:t>
      </w:r>
      <w:r>
        <w:rPr>
          <w:color w:val="000000"/>
          <w:sz w:val="22"/>
          <w:lang w:val="es-ES"/>
        </w:rPr>
        <w:t>́</w:t>
      </w:r>
      <w:r>
        <w:rPr>
          <w:color w:val="000000"/>
          <w:sz w:val="22"/>
          <w:lang w:val="es-ES"/>
        </w:rPr>
        <w:t>do posteriormente en dos oportunidades consecutivas durante una hora con acetona a temperatura ambiente. La suspensio</w:t>
      </w:r>
      <w:r>
        <w:rPr>
          <w:color w:val="000000"/>
          <w:sz w:val="22"/>
          <w:lang w:val="es-ES"/>
        </w:rPr>
        <w:t>́</w:t>
      </w:r>
      <w:r>
        <w:rPr>
          <w:color w:val="000000"/>
          <w:sz w:val="22"/>
          <w:lang w:val="es-ES"/>
        </w:rPr>
        <w:t xml:space="preserve">n obtenida fue centrifugada a 8000 rpm a 4 </w:t>
      </w:r>
      <w:r>
        <w:rPr>
          <w:color w:val="000000"/>
          <w:sz w:val="22"/>
          <w:lang w:val="es-ES"/>
        </w:rPr>
        <w:t>ºC, obteniendo un residuo y dos sobrenadantes. Estos sobrenadantes se descartaron. El residuo de la extraccio</w:t>
      </w:r>
      <w:r>
        <w:rPr>
          <w:color w:val="000000"/>
          <w:sz w:val="22"/>
          <w:lang w:val="es-ES"/>
        </w:rPr>
        <w:t>́</w:t>
      </w:r>
      <w:r>
        <w:rPr>
          <w:color w:val="000000"/>
          <w:sz w:val="22"/>
          <w:lang w:val="es-ES"/>
        </w:rPr>
        <w:t>n con acetona fue extrai</w:t>
      </w:r>
      <w:r>
        <w:rPr>
          <w:color w:val="000000"/>
          <w:sz w:val="22"/>
          <w:lang w:val="es-ES"/>
        </w:rPr>
        <w:t>́</w:t>
      </w:r>
      <w:r>
        <w:rPr>
          <w:color w:val="000000"/>
          <w:sz w:val="22"/>
          <w:lang w:val="es-ES"/>
        </w:rPr>
        <w:t>do posteriormente con e</w:t>
      </w:r>
      <w:r>
        <w:rPr>
          <w:color w:val="000000"/>
          <w:sz w:val="22"/>
          <w:lang w:val="es-ES"/>
        </w:rPr>
        <w:t>́</w:t>
      </w:r>
      <w:r>
        <w:rPr>
          <w:color w:val="000000"/>
          <w:sz w:val="22"/>
          <w:lang w:val="es-ES"/>
        </w:rPr>
        <w:t>ter eti</w:t>
      </w:r>
      <w:r>
        <w:rPr>
          <w:color w:val="000000"/>
          <w:sz w:val="22"/>
          <w:lang w:val="es-ES"/>
        </w:rPr>
        <w:t>́</w:t>
      </w:r>
      <w:r>
        <w:rPr>
          <w:color w:val="000000"/>
          <w:sz w:val="22"/>
          <w:lang w:val="es-ES"/>
        </w:rPr>
        <w:t>lico durante una hora a temperatura ambiente. La suspensio</w:t>
      </w:r>
      <w:r>
        <w:rPr>
          <w:color w:val="000000"/>
          <w:sz w:val="22"/>
          <w:lang w:val="es-ES"/>
        </w:rPr>
        <w:t>́</w:t>
      </w:r>
      <w:r>
        <w:rPr>
          <w:color w:val="000000"/>
          <w:sz w:val="22"/>
          <w:lang w:val="es-ES"/>
        </w:rPr>
        <w:t xml:space="preserve">n obtenida fue centrifugada a </w:t>
      </w:r>
      <w:r>
        <w:rPr>
          <w:color w:val="000000"/>
          <w:sz w:val="22"/>
          <w:lang w:val="es-ES"/>
        </w:rPr>
        <w:t xml:space="preserve">8000 rpm a 4 </w:t>
      </w:r>
      <w:r>
        <w:rPr>
          <w:rFonts w:ascii="Symbol"/>
          <w:color w:val="000000"/>
          <w:sz w:val="22"/>
          <w:lang w:val="es-ES"/>
        </w:rPr>
        <w:t></w:t>
      </w:r>
      <w:r>
        <w:rPr>
          <w:color w:val="000000"/>
          <w:sz w:val="22"/>
          <w:lang w:val="es-ES"/>
        </w:rPr>
        <w:t>C, obteniendo un residuo (AIR), que se seco</w:t>
      </w:r>
      <w:r>
        <w:rPr>
          <w:color w:val="000000"/>
          <w:sz w:val="22"/>
          <w:lang w:val="es-ES"/>
        </w:rPr>
        <w:t>́</w:t>
      </w:r>
      <w:r>
        <w:rPr>
          <w:color w:val="000000"/>
          <w:sz w:val="22"/>
          <w:lang w:val="es-ES"/>
        </w:rPr>
        <w:t xml:space="preserve"> al aire bajo campana durante una semana, y un sobrenadante que fue descartado. Como se presumi</w:t>
      </w:r>
      <w:r>
        <w:rPr>
          <w:color w:val="000000"/>
          <w:sz w:val="22"/>
          <w:lang w:val="es-ES"/>
        </w:rPr>
        <w:t>́</w:t>
      </w:r>
      <w:r>
        <w:rPr>
          <w:color w:val="000000"/>
          <w:sz w:val="22"/>
          <w:lang w:val="es-ES"/>
        </w:rPr>
        <w:t>a que esta fraccio</w:t>
      </w:r>
      <w:r>
        <w:rPr>
          <w:color w:val="000000"/>
          <w:sz w:val="22"/>
          <w:lang w:val="es-ES"/>
        </w:rPr>
        <w:t>́</w:t>
      </w:r>
      <w:r>
        <w:rPr>
          <w:color w:val="000000"/>
          <w:sz w:val="22"/>
          <w:lang w:val="es-ES"/>
        </w:rPr>
        <w:t>n AIR conteni</w:t>
      </w:r>
      <w:r>
        <w:rPr>
          <w:color w:val="000000"/>
          <w:sz w:val="22"/>
          <w:lang w:val="es-ES"/>
        </w:rPr>
        <w:t>́</w:t>
      </w:r>
      <w:r>
        <w:rPr>
          <w:color w:val="000000"/>
          <w:sz w:val="22"/>
          <w:lang w:val="es-ES"/>
        </w:rPr>
        <w:t>a un alto porcentaje de glucosa proveniente de polisaca</w:t>
      </w:r>
      <w:r>
        <w:rPr>
          <w:color w:val="000000"/>
          <w:sz w:val="22"/>
          <w:lang w:val="es-ES"/>
        </w:rPr>
        <w:t>́</w:t>
      </w:r>
      <w:r>
        <w:rPr>
          <w:color w:val="000000"/>
          <w:sz w:val="22"/>
          <w:lang w:val="es-ES"/>
        </w:rPr>
        <w:t>ridos (</w:t>
      </w:r>
      <w:r>
        <w:rPr>
          <w:rFonts w:ascii="Symbol"/>
          <w:color w:val="000000"/>
          <w:sz w:val="22"/>
          <w:lang w:val="es-ES"/>
        </w:rPr>
        <w:t></w:t>
      </w:r>
      <w:r>
        <w:rPr>
          <w:color w:val="000000"/>
          <w:sz w:val="22"/>
          <w:lang w:val="es-ES"/>
        </w:rPr>
        <w:t>-gluc</w:t>
      </w:r>
      <w:r>
        <w:rPr>
          <w:color w:val="000000"/>
          <w:sz w:val="22"/>
          <w:lang w:val="es-ES"/>
        </w:rPr>
        <w:t>anos) de reserva (almido</w:t>
      </w:r>
      <w:r>
        <w:rPr>
          <w:color w:val="000000"/>
          <w:sz w:val="22"/>
          <w:lang w:val="es-ES"/>
        </w:rPr>
        <w:t>́</w:t>
      </w:r>
      <w:r>
        <w:rPr>
          <w:color w:val="000000"/>
          <w:sz w:val="22"/>
          <w:lang w:val="es-ES"/>
        </w:rPr>
        <w:t xml:space="preserve">n) se hicieron dos extracciones con agua destilada durante 3hs (20 g/L) a 100 </w:t>
      </w:r>
      <w:r>
        <w:rPr>
          <w:rFonts w:ascii="Symbol"/>
          <w:color w:val="000000"/>
          <w:sz w:val="22"/>
          <w:lang w:val="es-ES"/>
        </w:rPr>
        <w:t></w:t>
      </w:r>
      <w:r>
        <w:rPr>
          <w:color w:val="000000"/>
          <w:sz w:val="22"/>
          <w:lang w:val="es-ES"/>
        </w:rPr>
        <w:t>C y la suspensio</w:t>
      </w:r>
      <w:r>
        <w:rPr>
          <w:color w:val="000000"/>
          <w:sz w:val="22"/>
          <w:lang w:val="es-ES"/>
        </w:rPr>
        <w:t>́</w:t>
      </w:r>
      <w:r>
        <w:rPr>
          <w:color w:val="000000"/>
          <w:sz w:val="22"/>
          <w:lang w:val="es-ES"/>
        </w:rPr>
        <w:t xml:space="preserve">n obtenida fue centrifugada a 8500 rpm a 4 </w:t>
      </w:r>
      <w:r>
        <w:rPr>
          <w:rFonts w:ascii="Symbol"/>
          <w:color w:val="000000"/>
          <w:sz w:val="22"/>
          <w:lang w:val="es-ES"/>
        </w:rPr>
        <w:t></w:t>
      </w:r>
      <w:r>
        <w:rPr>
          <w:color w:val="000000"/>
          <w:sz w:val="22"/>
          <w:lang w:val="es-ES"/>
        </w:rPr>
        <w:t>C, obteniendo un residuo y dos sobrenadantes que fueron dializados (MWCO 6-8,000) en agua c</w:t>
      </w:r>
      <w:r>
        <w:rPr>
          <w:color w:val="000000"/>
          <w:sz w:val="22"/>
          <w:lang w:val="es-ES"/>
        </w:rPr>
        <w:t>orriente durante 72 hs y luego en agua destilada por 4 hs, despue</w:t>
      </w:r>
      <w:r>
        <w:rPr>
          <w:color w:val="000000"/>
          <w:sz w:val="22"/>
          <w:lang w:val="es-ES"/>
        </w:rPr>
        <w:t>́</w:t>
      </w:r>
      <w:r>
        <w:rPr>
          <w:color w:val="000000"/>
          <w:sz w:val="22"/>
          <w:lang w:val="es-ES"/>
        </w:rPr>
        <w:t>s fueron liofilizados. Luego los residuos fueron secuencialmente extrai</w:t>
      </w:r>
      <w:r>
        <w:rPr>
          <w:color w:val="000000"/>
          <w:sz w:val="22"/>
          <w:lang w:val="es-ES"/>
        </w:rPr>
        <w:t>́</w:t>
      </w:r>
      <w:r>
        <w:rPr>
          <w:color w:val="000000"/>
          <w:sz w:val="22"/>
          <w:lang w:val="es-ES"/>
        </w:rPr>
        <w:t>dos del mismo modo y en dos oportunidades sucesivas cada uno con CDTA 0.05 M a pH= 6, Na</w:t>
      </w:r>
      <w:r>
        <w:rPr>
          <w:color w:val="000000"/>
          <w:position w:val="-10"/>
          <w:sz w:val="22"/>
          <w:lang w:val="es-ES"/>
        </w:rPr>
        <w:t>2</w:t>
      </w:r>
      <w:r>
        <w:rPr>
          <w:color w:val="000000"/>
          <w:sz w:val="22"/>
          <w:lang w:val="es-ES"/>
        </w:rPr>
        <w:t>CO</w:t>
      </w:r>
      <w:r>
        <w:rPr>
          <w:color w:val="000000"/>
          <w:position w:val="-10"/>
          <w:sz w:val="22"/>
          <w:lang w:val="es-ES"/>
        </w:rPr>
        <w:t>3</w:t>
      </w:r>
      <w:r>
        <w:rPr>
          <w:color w:val="000000"/>
          <w:position w:val="-2"/>
          <w:sz w:val="22"/>
          <w:lang w:val="es-ES"/>
        </w:rPr>
        <w:t xml:space="preserve"> </w:t>
      </w:r>
      <w:r>
        <w:rPr>
          <w:color w:val="000000"/>
          <w:sz w:val="22"/>
          <w:lang w:val="es-ES"/>
        </w:rPr>
        <w:t>0.05 M, KOH 1M - NaBH</w:t>
      </w:r>
      <w:r>
        <w:rPr>
          <w:color w:val="000000"/>
          <w:position w:val="-10"/>
          <w:sz w:val="22"/>
          <w:lang w:val="es-ES"/>
        </w:rPr>
        <w:t>4</w:t>
      </w:r>
      <w:r>
        <w:rPr>
          <w:color w:val="000000"/>
          <w:position w:val="-2"/>
          <w:sz w:val="22"/>
          <w:lang w:val="es-ES"/>
        </w:rPr>
        <w:t xml:space="preserve"> </w:t>
      </w:r>
      <w:r>
        <w:rPr>
          <w:color w:val="000000"/>
          <w:sz w:val="22"/>
          <w:lang w:val="es-ES"/>
        </w:rPr>
        <w:t>10</w:t>
      </w:r>
      <w:r>
        <w:rPr>
          <w:color w:val="000000"/>
          <w:sz w:val="22"/>
          <w:lang w:val="es-ES"/>
        </w:rPr>
        <w:t>mM y en tres oportunidades sucesivas con KOH 4M - NaBH</w:t>
      </w:r>
      <w:r>
        <w:rPr>
          <w:color w:val="000000"/>
          <w:position w:val="-10"/>
          <w:sz w:val="22"/>
          <w:lang w:val="es-ES"/>
        </w:rPr>
        <w:t>4</w:t>
      </w:r>
      <w:r>
        <w:rPr>
          <w:color w:val="000000"/>
          <w:position w:val="-2"/>
          <w:sz w:val="22"/>
          <w:lang w:val="es-ES"/>
        </w:rPr>
        <w:t xml:space="preserve"> </w:t>
      </w:r>
      <w:r>
        <w:rPr>
          <w:color w:val="000000"/>
          <w:sz w:val="22"/>
          <w:lang w:val="es-ES"/>
        </w:rPr>
        <w:t>10mM. En cada caso, cada suspensio</w:t>
      </w:r>
      <w:r>
        <w:rPr>
          <w:color w:val="000000"/>
          <w:sz w:val="22"/>
          <w:lang w:val="es-ES"/>
        </w:rPr>
        <w:t>́</w:t>
      </w:r>
      <w:r>
        <w:rPr>
          <w:color w:val="000000"/>
          <w:sz w:val="22"/>
          <w:lang w:val="es-ES"/>
        </w:rPr>
        <w:t>n obtenida fue centrifugada a 9500 rpm a 4</w:t>
      </w:r>
      <w:r>
        <w:rPr>
          <w:rFonts w:ascii="Symbol"/>
          <w:color w:val="000000"/>
          <w:sz w:val="22"/>
          <w:lang w:val="es-ES"/>
        </w:rPr>
        <w:t></w:t>
      </w:r>
      <w:r>
        <w:rPr>
          <w:color w:val="000000"/>
          <w:sz w:val="22"/>
          <w:lang w:val="es-ES"/>
        </w:rPr>
        <w:t xml:space="preserve">C (Hermle Z 323 K, Germany) obteniendo un residuo </w:t>
      </w:r>
      <w:r>
        <w:rPr>
          <w:color w:val="000000"/>
          <w:sz w:val="22"/>
          <w:lang w:val="es-ES"/>
        </w:rPr>
        <w:lastRenderedPageBreak/>
        <w:t>y dos sobrenadantes (extractos), que se trataron separadamente. Cada uno</w:t>
      </w:r>
      <w:r>
        <w:rPr>
          <w:color w:val="000000"/>
          <w:sz w:val="22"/>
          <w:lang w:val="es-ES"/>
        </w:rPr>
        <w:t xml:space="preserve"> de ellos fue dializado y liofilizado para las determinaciones posteriores. Se obtuvieron en total para cada tratamiento once extractos, y un residuo final (Rf). </w:t>
      </w:r>
    </w:p>
    <w:p w14:paraId="1923F8DE" w14:textId="77777777" w:rsidR="00000000" w:rsidRDefault="00AA47AD">
      <w:pPr>
        <w:pStyle w:val="Predeterminado"/>
        <w:spacing w:line="360" w:lineRule="auto"/>
        <w:jc w:val="both"/>
      </w:pPr>
      <w:r>
        <w:rPr>
          <w:noProof/>
          <w:color w:val="000000"/>
          <w:sz w:val="22"/>
        </w:rPr>
        <w:pict w14:anchorId="20E050D9">
          <v:shape id="" o:spid="_x0000_i1035" type="#_x0000_t75" alt="" style="width:345pt;height:225pt">
            <v:imagedata r:id="rId15" o:title=""/>
          </v:shape>
        </w:pict>
      </w:r>
    </w:p>
    <w:p w14:paraId="140F2CC0" w14:textId="77777777" w:rsidR="00000000" w:rsidRDefault="00AA47AD">
      <w:pPr>
        <w:pStyle w:val="Predeterminado"/>
        <w:spacing w:before="280" w:after="280"/>
        <w:jc w:val="both"/>
      </w:pPr>
      <w:r>
        <w:rPr>
          <w:color w:val="000000"/>
          <w:lang w:val="es-ES"/>
        </w:rPr>
        <w:t>Figura 7: Extraccio</w:t>
      </w:r>
      <w:r>
        <w:rPr>
          <w:color w:val="000000"/>
          <w:lang w:val="es-ES"/>
        </w:rPr>
        <w:t>́</w:t>
      </w:r>
      <w:r>
        <w:rPr>
          <w:color w:val="000000"/>
          <w:lang w:val="es-ES"/>
        </w:rPr>
        <w:t>n secuencial de paredes celulares. L</w:t>
      </w:r>
      <w:r>
        <w:rPr>
          <w:color w:val="000000"/>
          <w:lang w:val="es-ES"/>
        </w:rPr>
        <w:t>as extracciones se realizaron a temperatura ambiente, salvo en los casos indicados. Los nu</w:t>
      </w:r>
      <w:r>
        <w:rPr>
          <w:color w:val="000000"/>
          <w:lang w:val="es-ES"/>
        </w:rPr>
        <w:t>́</w:t>
      </w:r>
      <w:r>
        <w:rPr>
          <w:color w:val="000000"/>
          <w:lang w:val="es-ES"/>
        </w:rPr>
        <w:t>meros entre pare</w:t>
      </w:r>
      <w:r>
        <w:rPr>
          <w:color w:val="000000"/>
          <w:lang w:val="es-ES"/>
        </w:rPr>
        <w:t>́</w:t>
      </w:r>
      <w:r>
        <w:rPr>
          <w:color w:val="000000"/>
          <w:lang w:val="es-ES"/>
        </w:rPr>
        <w:t>ntesis indican el nu</w:t>
      </w:r>
      <w:r>
        <w:rPr>
          <w:color w:val="000000"/>
          <w:lang w:val="es-ES"/>
        </w:rPr>
        <w:t>́</w:t>
      </w:r>
      <w:r>
        <w:rPr>
          <w:color w:val="000000"/>
          <w:lang w:val="es-ES"/>
        </w:rPr>
        <w:t xml:space="preserve">mero de extracciones secuenciales realizadas con cada solvente. </w:t>
      </w:r>
    </w:p>
    <w:p w14:paraId="25347BE5" w14:textId="77777777" w:rsidR="00000000" w:rsidRDefault="00AA47AD">
      <w:pPr>
        <w:pStyle w:val="m1518504101863176917gmail-msobodytext"/>
        <w:spacing w:line="360" w:lineRule="auto"/>
        <w:jc w:val="both"/>
      </w:pPr>
      <w:r>
        <w:rPr>
          <w:b/>
          <w:color w:val="000000"/>
          <w:sz w:val="22"/>
          <w:lang w:val="es-AR"/>
        </w:rPr>
        <w:t>3.5.4 Purificación y evaluación de la homogeneidad de los prod</w:t>
      </w:r>
      <w:r>
        <w:rPr>
          <w:b/>
          <w:color w:val="000000"/>
          <w:sz w:val="22"/>
          <w:lang w:val="es-AR"/>
        </w:rPr>
        <w:t>uctos obtenidos:</w:t>
      </w:r>
      <w:r>
        <w:rPr>
          <w:rStyle w:val="apple-converted-space"/>
          <w:b/>
          <w:color w:val="000000"/>
          <w:sz w:val="22"/>
          <w:lang w:val="es-AR"/>
        </w:rPr>
        <w:t xml:space="preserve">  </w:t>
      </w:r>
    </w:p>
    <w:p w14:paraId="6981D83B" w14:textId="77777777" w:rsidR="00000000" w:rsidRDefault="00AA47AD">
      <w:pPr>
        <w:pStyle w:val="Predeterminado"/>
        <w:spacing w:before="280" w:after="280" w:line="360" w:lineRule="auto"/>
        <w:ind w:firstLine="284"/>
        <w:jc w:val="both"/>
      </w:pPr>
      <w:r>
        <w:rPr>
          <w:b/>
          <w:color w:val="000000"/>
          <w:sz w:val="22"/>
          <w:lang w:val="es-ES"/>
        </w:rPr>
        <w:t>Sobre los extractos obtenidos se procederá a:</w:t>
      </w:r>
    </w:p>
    <w:p w14:paraId="355139AF" w14:textId="77777777" w:rsidR="00000000" w:rsidRDefault="00AA47AD">
      <w:pPr>
        <w:pStyle w:val="Predeterminado"/>
        <w:spacing w:before="280" w:after="280" w:line="360" w:lineRule="auto"/>
        <w:ind w:firstLine="284"/>
        <w:jc w:val="both"/>
      </w:pPr>
      <w:r>
        <w:rPr>
          <w:b/>
          <w:color w:val="000000"/>
          <w:sz w:val="22"/>
          <w:lang w:val="es-ES"/>
        </w:rPr>
        <w:t>1) E</w:t>
      </w:r>
      <w:r>
        <w:rPr>
          <w:color w:val="000000"/>
          <w:sz w:val="22"/>
          <w:lang w:val="es-ES"/>
        </w:rPr>
        <w:t>valuar la homogeneidad de los extractos por las siguientes técnicas  cromatográficas y posteriormente se elegirá la metodología adecuada para la realización de cromatografías preparativas</w:t>
      </w:r>
      <w:r>
        <w:rPr>
          <w:color w:val="000000"/>
          <w:sz w:val="22"/>
          <w:lang w:val="es-ES"/>
        </w:rPr>
        <w:t xml:space="preserve">: a) Cromatografía en geles de distinto tipo y tamaño de poro (Esteves et al 2009). Cromatografía de permeación en gel de alta resolución utilizando un detector de índice de refracción; b) Cromatografía de intercambio iónico  se utilizará </w:t>
      </w:r>
      <w:r>
        <w:rPr>
          <w:color w:val="000000"/>
          <w:sz w:val="22"/>
          <w:shd w:val="clear" w:color="auto" w:fill="FFFFFF"/>
          <w:lang w:val="es-ES"/>
        </w:rPr>
        <w:t>una resina catión</w:t>
      </w:r>
      <w:r>
        <w:rPr>
          <w:color w:val="000000"/>
          <w:sz w:val="22"/>
          <w:shd w:val="clear" w:color="auto" w:fill="FFFFFF"/>
          <w:lang w:val="es-ES"/>
        </w:rPr>
        <w:t>ica fuerte, con sales de amonio cuaternario unidas a la fase (DEAE-Sephadex A-25, A-50 o similar) y así se intentará separar los diferentes polisacáridos en función de su carga, relacionada con el contenido de ácidos urónicos. De este modo, se logrará adem</w:t>
      </w:r>
      <w:r>
        <w:rPr>
          <w:color w:val="000000"/>
          <w:sz w:val="22"/>
          <w:shd w:val="clear" w:color="auto" w:fill="FFFFFF"/>
          <w:lang w:val="es-ES"/>
        </w:rPr>
        <w:t>ás la separación de polisacáridos neutros contaminantes y proteínas (si los hubiera)</w:t>
      </w:r>
      <w:r>
        <w:rPr>
          <w:color w:val="000000"/>
          <w:sz w:val="22"/>
          <w:lang w:val="es-ES"/>
        </w:rPr>
        <w:t>.</w:t>
      </w:r>
    </w:p>
    <w:p w14:paraId="081EB7C8" w14:textId="77777777" w:rsidR="00000000" w:rsidRDefault="00AA47AD">
      <w:pPr>
        <w:pStyle w:val="Predeterminado"/>
        <w:spacing w:line="360" w:lineRule="auto"/>
        <w:jc w:val="both"/>
      </w:pPr>
      <w:r>
        <w:rPr>
          <w:b/>
          <w:color w:val="000000"/>
          <w:sz w:val="22"/>
          <w:lang w:val="es-ES"/>
        </w:rPr>
        <w:lastRenderedPageBreak/>
        <w:t xml:space="preserve">2. </w:t>
      </w:r>
      <w:r>
        <w:rPr>
          <w:color w:val="000000"/>
          <w:sz w:val="22"/>
          <w:lang w:val="es-ES"/>
        </w:rPr>
        <w:t>Análisis de las fracciones obtenidas:</w:t>
      </w:r>
    </w:p>
    <w:p w14:paraId="1D7D38E4" w14:textId="77777777" w:rsidR="00000000" w:rsidRDefault="00AA47AD">
      <w:pPr>
        <w:pStyle w:val="Predeterminado"/>
        <w:spacing w:line="360" w:lineRule="auto"/>
        <w:ind w:firstLine="720"/>
        <w:jc w:val="both"/>
      </w:pPr>
      <w:r>
        <w:rPr>
          <w:color w:val="000000"/>
          <w:sz w:val="22"/>
          <w:lang w:val="es-ES"/>
        </w:rPr>
        <w:t xml:space="preserve">a) Determinación del contenido total de hidratos de carbono  (Dubois  </w:t>
      </w:r>
      <w:r>
        <w:rPr>
          <w:i/>
          <w:color w:val="000000"/>
          <w:sz w:val="22"/>
          <w:lang w:val="es-ES"/>
        </w:rPr>
        <w:t>et al.</w:t>
      </w:r>
      <w:r>
        <w:rPr>
          <w:color w:val="000000"/>
          <w:sz w:val="22"/>
          <w:lang w:val="es-ES"/>
        </w:rPr>
        <w:t>1956; Ahmed 1977). Determinación de monosacáridos componentes por derivatización y análisis por cromatografía gaseosa y cromatografía gaseosa-espectrometría de masa por impacto electrónico (CG-EM)  (Stevenson  1991), utilizando inositol como estándar inter</w:t>
      </w:r>
      <w:r>
        <w:rPr>
          <w:color w:val="000000"/>
          <w:sz w:val="22"/>
          <w:lang w:val="es-ES"/>
        </w:rPr>
        <w:t xml:space="preserve">no.  </w:t>
      </w:r>
    </w:p>
    <w:p w14:paraId="67FC565F" w14:textId="77777777" w:rsidR="00000000" w:rsidRDefault="00AA47AD">
      <w:pPr>
        <w:pStyle w:val="Predeterminado"/>
        <w:spacing w:line="360" w:lineRule="auto"/>
        <w:ind w:firstLine="720"/>
        <w:jc w:val="both"/>
      </w:pPr>
      <w:r>
        <w:rPr>
          <w:color w:val="000000"/>
          <w:sz w:val="22"/>
          <w:lang w:val="es-ES"/>
        </w:rPr>
        <w:t>b) Determinación del contenido de ácidos urónicos  (Filisetti-Cozzi 1991) y aminoazúcares  (Smith 1979)  por métodos colorimétricos. Las muestras que presenten cantidades significativas se derivatizarán en la forma adecuada para realizar su identific</w:t>
      </w:r>
      <w:r>
        <w:rPr>
          <w:color w:val="000000"/>
          <w:sz w:val="22"/>
          <w:lang w:val="es-ES"/>
        </w:rPr>
        <w:t xml:space="preserve">ación y cuantificación por medio de técnicas cromatográficas  (Taylor 1972; Turner 1981). Determinación del contenido de proteínas solubles  (Lowry 1951).  </w:t>
      </w:r>
    </w:p>
    <w:p w14:paraId="568A68A8" w14:textId="77777777" w:rsidR="00000000" w:rsidRDefault="00AA47AD">
      <w:pPr>
        <w:pStyle w:val="Predeterminado"/>
        <w:spacing w:line="360" w:lineRule="auto"/>
        <w:ind w:firstLine="720"/>
        <w:jc w:val="both"/>
      </w:pPr>
      <w:r>
        <w:rPr>
          <w:color w:val="000000"/>
          <w:sz w:val="22"/>
          <w:lang w:val="es-ES"/>
        </w:rPr>
        <w:t>c) Estimación del peso molecular (Park 1949).</w:t>
      </w:r>
    </w:p>
    <w:p w14:paraId="16DDCF53" w14:textId="77777777" w:rsidR="00000000" w:rsidRDefault="00AA47AD">
      <w:pPr>
        <w:pStyle w:val="Predeterminado"/>
        <w:spacing w:line="360" w:lineRule="auto"/>
        <w:ind w:left="567"/>
        <w:jc w:val="both"/>
      </w:pPr>
    </w:p>
    <w:p w14:paraId="566751E8" w14:textId="77777777" w:rsidR="00000000" w:rsidRDefault="00AA47AD">
      <w:pPr>
        <w:pStyle w:val="Predeterminado"/>
        <w:spacing w:line="360" w:lineRule="auto"/>
        <w:jc w:val="both"/>
      </w:pPr>
      <w:r>
        <w:rPr>
          <w:b/>
          <w:color w:val="000000"/>
          <w:sz w:val="22"/>
          <w:lang w:val="es-ES"/>
        </w:rPr>
        <w:t xml:space="preserve">3. </w:t>
      </w:r>
      <w:r>
        <w:rPr>
          <w:color w:val="000000"/>
          <w:sz w:val="22"/>
          <w:lang w:val="es-ES"/>
        </w:rPr>
        <w:t>Estudio estr</w:t>
      </w:r>
      <w:r>
        <w:rPr>
          <w:color w:val="000000"/>
          <w:sz w:val="22"/>
          <w:lang w:val="es-ES"/>
        </w:rPr>
        <w:t>uctural de las fracciones en las que se hayan detectado cambios  significativos:</w:t>
      </w:r>
    </w:p>
    <w:p w14:paraId="54BE184F" w14:textId="77777777" w:rsidR="00000000" w:rsidRDefault="00AA47AD">
      <w:pPr>
        <w:pStyle w:val="Predeterminado"/>
        <w:spacing w:line="360" w:lineRule="auto"/>
        <w:ind w:left="567"/>
        <w:jc w:val="both"/>
      </w:pPr>
      <w:r>
        <w:rPr>
          <w:color w:val="000000"/>
          <w:sz w:val="22"/>
          <w:lang w:val="es-ES"/>
        </w:rPr>
        <w:t xml:space="preserve">a) Análisis por metilación  (Ciucanu 1984).  </w:t>
      </w:r>
    </w:p>
    <w:p w14:paraId="1BB75F2D" w14:textId="77777777" w:rsidR="00000000" w:rsidRDefault="00AA47AD">
      <w:pPr>
        <w:pStyle w:val="Predeterminado"/>
        <w:spacing w:line="360" w:lineRule="auto"/>
        <w:ind w:left="567"/>
        <w:jc w:val="both"/>
      </w:pPr>
      <w:r>
        <w:rPr>
          <w:color w:val="000000"/>
          <w:sz w:val="22"/>
          <w:lang w:val="es-ES"/>
        </w:rPr>
        <w:t>b) Espectroscopía infrarroja con transformada de Fourier (ATR-FTIR)</w:t>
      </w:r>
    </w:p>
    <w:p w14:paraId="64CAF7F8" w14:textId="77777777" w:rsidR="00000000" w:rsidRDefault="00AA47AD">
      <w:pPr>
        <w:pStyle w:val="Predeterminado"/>
        <w:spacing w:line="360" w:lineRule="auto"/>
        <w:ind w:left="567"/>
        <w:jc w:val="both"/>
      </w:pPr>
      <w:r>
        <w:rPr>
          <w:color w:val="000000"/>
          <w:sz w:val="22"/>
          <w:lang w:val="es-ES"/>
        </w:rPr>
        <w:t xml:space="preserve">c) Espectroscopía de resonancia magnética nuclear protónica, </w:t>
      </w:r>
      <w:r>
        <w:rPr>
          <w:color w:val="000000"/>
          <w:sz w:val="22"/>
          <w:lang w:val="es-ES"/>
        </w:rPr>
        <w:t xml:space="preserve">de  </w:t>
      </w:r>
      <w:r>
        <w:rPr>
          <w:color w:val="000000"/>
          <w:position w:val="10"/>
          <w:sz w:val="22"/>
          <w:lang w:val="es-ES"/>
        </w:rPr>
        <w:t>13</w:t>
      </w:r>
      <w:r>
        <w:rPr>
          <w:color w:val="000000"/>
          <w:sz w:val="22"/>
          <w:lang w:val="es-ES"/>
        </w:rPr>
        <w:t>C y utilizando distintas técnicas bidimensionales (UMYMFOR- FCEN-CONICET).</w:t>
      </w:r>
    </w:p>
    <w:p w14:paraId="5997CEE4" w14:textId="77777777" w:rsidR="00000000" w:rsidRDefault="00AA47AD">
      <w:pPr>
        <w:pStyle w:val="Predeterminado"/>
        <w:spacing w:line="360" w:lineRule="auto"/>
        <w:ind w:left="567"/>
        <w:jc w:val="both"/>
      </w:pPr>
      <w:r>
        <w:rPr>
          <w:color w:val="000000"/>
          <w:sz w:val="22"/>
          <w:lang w:val="es-ES"/>
        </w:rPr>
        <w:t>d) Espectrometría de masa UV-MALDI-TOF (CEQUIBIEM-FCEN-CONICET) y ESI-TOF (UMYMFOR-FCEN-CONICET) (Fukuyama et al 2002)</w:t>
      </w:r>
    </w:p>
    <w:p w14:paraId="2FE8ECF3" w14:textId="77777777" w:rsidR="00000000" w:rsidRDefault="00AA47AD">
      <w:pPr>
        <w:pStyle w:val="Predeterminado"/>
        <w:spacing w:line="360" w:lineRule="auto"/>
        <w:jc w:val="both"/>
      </w:pPr>
    </w:p>
    <w:p w14:paraId="15D7043E" w14:textId="77777777" w:rsidR="00000000" w:rsidRDefault="00AA47AD">
      <w:pPr>
        <w:pStyle w:val="Predeterminado"/>
        <w:spacing w:line="360" w:lineRule="auto"/>
        <w:jc w:val="both"/>
      </w:pPr>
      <w:r>
        <w:rPr>
          <w:b/>
          <w:color w:val="000000"/>
          <w:sz w:val="22"/>
          <w:lang w:val="es-ES"/>
        </w:rPr>
        <w:t>3.5.5 Estudios in vitro:</w:t>
      </w:r>
    </w:p>
    <w:p w14:paraId="74CA6974" w14:textId="77777777" w:rsidR="00000000" w:rsidRDefault="00AA47AD">
      <w:pPr>
        <w:pStyle w:val="Predeterminado"/>
        <w:spacing w:line="360" w:lineRule="auto"/>
        <w:jc w:val="both"/>
      </w:pPr>
    </w:p>
    <w:p w14:paraId="143C8A6B" w14:textId="77777777" w:rsidR="00000000" w:rsidRDefault="00AA47AD">
      <w:pPr>
        <w:pStyle w:val="Predeterminado"/>
        <w:spacing w:line="360" w:lineRule="auto"/>
        <w:ind w:left="284"/>
        <w:jc w:val="both"/>
      </w:pPr>
      <w:r>
        <w:rPr>
          <w:color w:val="000000"/>
          <w:sz w:val="22"/>
          <w:lang w:val="es-ES"/>
        </w:rPr>
        <w:t>1. Evaluación de la acción de</w:t>
      </w:r>
      <w:r>
        <w:rPr>
          <w:color w:val="000000"/>
          <w:sz w:val="22"/>
          <w:lang w:val="es-ES"/>
        </w:rPr>
        <w:t xml:space="preserve"> los polisacáridos o sus fracciones sobre la viabilidad tumoral en líneas celulares murina de linfoma T, melanoma, cáncer de mama y de pulmón.:</w:t>
      </w:r>
    </w:p>
    <w:p w14:paraId="7196E756" w14:textId="77777777" w:rsidR="00000000" w:rsidRDefault="00AA47AD">
      <w:pPr>
        <w:pStyle w:val="Predeterminado"/>
        <w:spacing w:line="360" w:lineRule="auto"/>
        <w:ind w:left="284" w:hanging="284"/>
        <w:jc w:val="both"/>
      </w:pPr>
      <w:r>
        <w:rPr>
          <w:color w:val="000000"/>
          <w:sz w:val="22"/>
          <w:lang w:val="es-ES"/>
        </w:rPr>
        <w:t xml:space="preserve">     Para ello, las células serán incubadas por 48 horas con concentraciones crecientes de polisacáridos o sus f</w:t>
      </w:r>
      <w:r>
        <w:rPr>
          <w:color w:val="000000"/>
          <w:sz w:val="22"/>
          <w:lang w:val="es-ES"/>
        </w:rPr>
        <w:t>racciones y se cuantificará la viabilidad celular por conteo con Trypan Blue y ensayo de reducción de rezasurina (Cell Titer Blue assay). Estos resultados se confirmarán evaluando la proliferación celular por la técnica de incorporación timidina tritiada (</w:t>
      </w:r>
      <w:r>
        <w:rPr>
          <w:color w:val="000000"/>
          <w:sz w:val="22"/>
          <w:lang w:val="es-ES"/>
        </w:rPr>
        <w:t>[</w:t>
      </w:r>
      <w:r>
        <w:rPr>
          <w:color w:val="000000"/>
          <w:position w:val="10"/>
          <w:sz w:val="22"/>
          <w:lang w:val="es-ES"/>
        </w:rPr>
        <w:t>3</w:t>
      </w:r>
      <w:r>
        <w:rPr>
          <w:color w:val="000000"/>
          <w:sz w:val="22"/>
          <w:lang w:val="es-ES"/>
        </w:rPr>
        <w:t xml:space="preserve">H]TdR) (Sterle et al. 2014, 2016). En base a estos resultados se determinará la IC50 de los compuestos mencionados. </w:t>
      </w:r>
    </w:p>
    <w:p w14:paraId="4535BE7C" w14:textId="77777777" w:rsidR="00000000" w:rsidRDefault="00AA47AD">
      <w:pPr>
        <w:pStyle w:val="Predeterminado"/>
        <w:spacing w:line="360" w:lineRule="auto"/>
        <w:ind w:left="284"/>
        <w:jc w:val="both"/>
      </w:pPr>
      <w:r>
        <w:rPr>
          <w:color w:val="000000"/>
          <w:sz w:val="22"/>
          <w:lang w:val="es-ES"/>
        </w:rPr>
        <w:t xml:space="preserve">2. Determinación del perfil de expresión diferencial de distintos marcadores de proliferación (PCNA, Ki67) y de ciclo celular (ciclinas, </w:t>
      </w:r>
      <w:r>
        <w:rPr>
          <w:color w:val="000000"/>
          <w:sz w:val="22"/>
          <w:lang w:val="es-ES"/>
        </w:rPr>
        <w:t>p16/INK4A (CDKN2A), p53, entre otros) (Sterle et al. 2014, 2016) por RT-qPCR de acuerdo con ensayos ya puestos a punto en nuestro laboratorio (Cayrol et al.2015; Sterle et al 2014 y 2016) y por citometría de flujo empleando anticuerpos específicos para cad</w:t>
      </w:r>
      <w:r>
        <w:rPr>
          <w:color w:val="000000"/>
          <w:sz w:val="22"/>
          <w:lang w:val="es-ES"/>
        </w:rPr>
        <w:t>a proteína. Las células marcadas serán analizadas en un citómetro de flujo y los resultados serán analizados utilizando el software BD Accury.</w:t>
      </w:r>
    </w:p>
    <w:p w14:paraId="39D978C8" w14:textId="77777777" w:rsidR="00000000" w:rsidRDefault="00AA47AD">
      <w:pPr>
        <w:pStyle w:val="Predeterminado"/>
        <w:tabs>
          <w:tab w:val="left" w:pos="568"/>
        </w:tabs>
        <w:spacing w:line="360" w:lineRule="auto"/>
        <w:ind w:left="284" w:hanging="284"/>
        <w:jc w:val="both"/>
      </w:pPr>
      <w:r>
        <w:rPr>
          <w:color w:val="000000"/>
          <w:sz w:val="22"/>
          <w:lang w:val="es-ES"/>
        </w:rPr>
        <w:lastRenderedPageBreak/>
        <w:t>3. Análisis de la inducción de apoptosis mediante la marcación de las células con Anexina V-FITC / Ioduro de Prop</w:t>
      </w:r>
      <w:r>
        <w:rPr>
          <w:color w:val="000000"/>
          <w:sz w:val="22"/>
          <w:lang w:val="es-ES"/>
        </w:rPr>
        <w:t>idio y posterior análisis por citometría de flujo. Adicionalmente determinaremos la activación de caspasa 8, que interviene en la vía extrínseca, la caspasa 9 perteneciente a la vía intrínseca, y la caspasa 3, en la cual convergen ambas vías mediante las t</w:t>
      </w:r>
      <w:r>
        <w:rPr>
          <w:color w:val="000000"/>
          <w:sz w:val="22"/>
          <w:lang w:val="es-ES"/>
        </w:rPr>
        <w:t>écnicas de western blot e inmunofluorescencia así como también el balance en los niveles de expresión de proteínas pro-apoptóticas (como Bad y Bax) y anti-apoptóticas (Bcl-2, Bcl-Xl, etc), mediante las técnicas de western blot e inmunofluorescencia.</w:t>
      </w:r>
    </w:p>
    <w:p w14:paraId="66FB7369" w14:textId="77777777" w:rsidR="00000000" w:rsidRDefault="00AA47AD">
      <w:pPr>
        <w:pStyle w:val="Predeterminado"/>
        <w:spacing w:line="360" w:lineRule="auto"/>
        <w:jc w:val="both"/>
      </w:pPr>
    </w:p>
    <w:p w14:paraId="57876C6B" w14:textId="77777777" w:rsidR="00000000" w:rsidRDefault="00AA47AD">
      <w:pPr>
        <w:pStyle w:val="Predeterminado"/>
        <w:spacing w:line="360" w:lineRule="auto"/>
        <w:jc w:val="both"/>
      </w:pPr>
      <w:r>
        <w:rPr>
          <w:b/>
          <w:color w:val="000000"/>
          <w:sz w:val="22"/>
          <w:lang w:val="es-AR"/>
        </w:rPr>
        <w:t>3.5.6</w:t>
      </w:r>
      <w:r>
        <w:rPr>
          <w:b/>
          <w:color w:val="000000"/>
          <w:sz w:val="22"/>
          <w:lang w:val="es-AR"/>
        </w:rPr>
        <w:t xml:space="preserve"> Estudios in vivo: </w:t>
      </w:r>
    </w:p>
    <w:p w14:paraId="01572695" w14:textId="77777777" w:rsidR="00000000" w:rsidRDefault="00AA47AD">
      <w:pPr>
        <w:pStyle w:val="Predeterminado"/>
        <w:spacing w:line="360" w:lineRule="auto"/>
        <w:jc w:val="both"/>
      </w:pPr>
    </w:p>
    <w:p w14:paraId="076FD037" w14:textId="77777777" w:rsidR="00000000" w:rsidRDefault="00AA47AD">
      <w:pPr>
        <w:pStyle w:val="Predeterminado"/>
        <w:spacing w:line="360" w:lineRule="auto"/>
        <w:ind w:firstLine="720"/>
        <w:jc w:val="both"/>
      </w:pPr>
      <w:r>
        <w:rPr>
          <w:color w:val="000000"/>
          <w:sz w:val="22"/>
          <w:lang w:val="es-AR"/>
        </w:rPr>
        <w:t>Se desarrollarán los modelos tumorales correspondientes en animales singeneicos de las cepas C57BL/6J y Balb/c de dos meses de edad. Con el fin de obtener tumores sólidos de linfomas T, LBC (H-2</w:t>
      </w:r>
      <w:r>
        <w:rPr>
          <w:color w:val="000000"/>
          <w:position w:val="10"/>
          <w:sz w:val="22"/>
          <w:lang w:val="es-AR"/>
        </w:rPr>
        <w:t>d</w:t>
      </w:r>
      <w:r>
        <w:rPr>
          <w:color w:val="000000"/>
          <w:sz w:val="22"/>
          <w:lang w:val="es-AR"/>
        </w:rPr>
        <w:t>) en ratones Balb/c y EL-4 (H-2</w:t>
      </w:r>
      <w:r>
        <w:rPr>
          <w:color w:val="000000"/>
          <w:position w:val="10"/>
          <w:sz w:val="22"/>
          <w:lang w:val="es-AR"/>
        </w:rPr>
        <w:t>b</w:t>
      </w:r>
      <w:r>
        <w:rPr>
          <w:color w:val="000000"/>
          <w:sz w:val="22"/>
          <w:lang w:val="es-AR"/>
        </w:rPr>
        <w:t>) en rat</w:t>
      </w:r>
      <w:r>
        <w:rPr>
          <w:color w:val="000000"/>
          <w:sz w:val="22"/>
          <w:lang w:val="es-AR"/>
        </w:rPr>
        <w:t>ones C57, se procederá de acuerdo a protocolos ya utilizados por nuestro grupo (Frick et al. 2009; Sterle et al. 2014, 2016). Las células de melanoma B16F1 serán inoculadas s.c. en concentración 1 x 10</w:t>
      </w:r>
      <w:r>
        <w:rPr>
          <w:color w:val="000000"/>
          <w:position w:val="10"/>
          <w:sz w:val="22"/>
          <w:lang w:val="es-AR"/>
        </w:rPr>
        <w:t xml:space="preserve">5 </w:t>
      </w:r>
      <w:r>
        <w:rPr>
          <w:color w:val="000000"/>
          <w:sz w:val="22"/>
          <w:lang w:val="es-AR"/>
        </w:rPr>
        <w:t>en 0.2 ml de suspensión y los tumores aparecerán 10 d</w:t>
      </w:r>
      <w:r>
        <w:rPr>
          <w:color w:val="000000"/>
          <w:sz w:val="22"/>
          <w:lang w:val="es-AR"/>
        </w:rPr>
        <w:t>ías post-inyección tal como lo comprobáramos previamente (Salgueiro et al. 2009).</w:t>
      </w:r>
    </w:p>
    <w:p w14:paraId="6793764A" w14:textId="77777777" w:rsidR="00000000" w:rsidRDefault="00AA47AD">
      <w:pPr>
        <w:pStyle w:val="Predeterminado"/>
        <w:spacing w:line="360" w:lineRule="auto"/>
        <w:jc w:val="both"/>
      </w:pPr>
      <w:r>
        <w:rPr>
          <w:color w:val="000000"/>
          <w:sz w:val="22"/>
          <w:lang w:val="es-ES"/>
        </w:rPr>
        <w:t>Los tumores de mama y pulmón serán obtenidos por inoculación de las células 4T1 y LP07 respectivamente de acuerdo a protocolos descriptos en la literatura (Tkach et al. 2012;</w:t>
      </w:r>
      <w:r>
        <w:rPr>
          <w:color w:val="000000"/>
          <w:sz w:val="22"/>
          <w:lang w:val="es-ES"/>
        </w:rPr>
        <w:t xml:space="preserve"> Vazquez et al. 2013).</w:t>
      </w:r>
    </w:p>
    <w:p w14:paraId="1F2DF5F3" w14:textId="77777777" w:rsidR="00000000" w:rsidRDefault="00AA47AD">
      <w:pPr>
        <w:pStyle w:val="Predeterminado"/>
        <w:spacing w:line="360" w:lineRule="auto"/>
        <w:jc w:val="both"/>
      </w:pPr>
      <w:r>
        <w:rPr>
          <w:color w:val="000000"/>
          <w:sz w:val="22"/>
          <w:lang w:val="es-AR"/>
        </w:rPr>
        <w:t>En estos modelos se evaluará:</w:t>
      </w:r>
    </w:p>
    <w:p w14:paraId="41412D37" w14:textId="77777777" w:rsidR="00000000" w:rsidRDefault="00AA47AD">
      <w:pPr>
        <w:pStyle w:val="Predeterminado"/>
        <w:numPr>
          <w:ilvl w:val="0"/>
          <w:numId w:val="4"/>
        </w:numPr>
        <w:spacing w:line="360" w:lineRule="auto"/>
        <w:ind w:left="284" w:hanging="284"/>
        <w:jc w:val="both"/>
      </w:pPr>
      <w:r>
        <w:rPr>
          <w:color w:val="000000"/>
          <w:sz w:val="22"/>
          <w:lang w:val="es-AR"/>
        </w:rPr>
        <w:t>Análisis de crecimiento y proliferación / apoptosis en tumores de los grupos experimentales tratados o no con polisacáridos y se utilizarán técnicas de inmunohistoquí</w:t>
      </w:r>
      <w:r>
        <w:rPr>
          <w:color w:val="000000"/>
          <w:sz w:val="22"/>
          <w:lang w:val="es-AR"/>
        </w:rPr>
        <w:t>mica e inmunofluorescencia para detectar los niveles de expresión de proteínas relacionadas con los procesos de proliferación (PCNA, Ki67), regulación del ciclo celular (Ciclinas D1 y E, p16, p27 y p53) y apoptosis (Caspasas 3 y 9, Bax y Bcl-2) (Sterle y c</w:t>
      </w:r>
      <w:r>
        <w:rPr>
          <w:color w:val="000000"/>
          <w:sz w:val="22"/>
          <w:lang w:val="es-AR"/>
        </w:rPr>
        <w:t>ol, 2014 y 2016).</w:t>
      </w:r>
    </w:p>
    <w:p w14:paraId="7C706AD2" w14:textId="77777777" w:rsidR="00000000" w:rsidRDefault="00AA47AD">
      <w:pPr>
        <w:pStyle w:val="Predeterminado"/>
        <w:numPr>
          <w:ilvl w:val="0"/>
          <w:numId w:val="4"/>
        </w:numPr>
        <w:spacing w:line="360" w:lineRule="auto"/>
        <w:ind w:left="284" w:hanging="284"/>
        <w:jc w:val="both"/>
      </w:pPr>
      <w:r>
        <w:rPr>
          <w:color w:val="000000"/>
          <w:sz w:val="22"/>
          <w:lang w:val="es-AR"/>
        </w:rPr>
        <w:t>Análisis de subpoblaciones celulares por citometrí</w:t>
      </w:r>
      <w:r>
        <w:rPr>
          <w:color w:val="000000"/>
          <w:sz w:val="22"/>
          <w:lang w:val="es-AR"/>
        </w:rPr>
        <w:t xml:space="preserve">a de flujo en ganglios, bazos y tumores de los modelos murinos en estudio. Para ello los tejidos serán disgregados mecánicamente y se cuantificará por citometría de flujo los porcentajes de células T helper (CD4+), T citotóxicas (CD8+), células NK (NK1.1+ </w:t>
      </w:r>
      <w:r>
        <w:rPr>
          <w:color w:val="000000"/>
          <w:sz w:val="22"/>
          <w:lang w:val="es-AR"/>
        </w:rPr>
        <w:t>o CD49</w:t>
      </w:r>
      <w:r>
        <w:rPr>
          <w:color w:val="000000"/>
          <w:position w:val="10"/>
          <w:sz w:val="22"/>
          <w:lang w:val="es-AR"/>
        </w:rPr>
        <w:t>+</w:t>
      </w:r>
      <w:r>
        <w:rPr>
          <w:color w:val="000000"/>
          <w:sz w:val="22"/>
          <w:lang w:val="es-AR"/>
        </w:rPr>
        <w:t xml:space="preserve">), células supresoras de origen mieloide (Gr1+ y CD11b+) y Treg (CD4+/CD25+/Foxp3+) empleando anticuerpos específicos para cada subtipo celular. </w:t>
      </w:r>
    </w:p>
    <w:p w14:paraId="7FBF044E" w14:textId="77777777" w:rsidR="00000000" w:rsidRDefault="00AA47AD">
      <w:pPr>
        <w:pStyle w:val="Predeterminado"/>
        <w:numPr>
          <w:ilvl w:val="0"/>
          <w:numId w:val="4"/>
        </w:numPr>
        <w:spacing w:line="360" w:lineRule="auto"/>
        <w:ind w:left="284" w:hanging="284"/>
        <w:jc w:val="both"/>
      </w:pPr>
      <w:r>
        <w:rPr>
          <w:color w:val="000000"/>
          <w:sz w:val="22"/>
          <w:lang w:val="es-AR"/>
        </w:rPr>
        <w:t xml:space="preserve">A partir de cortes de tejido tumoral se evaluará el infiltrado de células inmunes por inmunotinción </w:t>
      </w:r>
      <w:r>
        <w:rPr>
          <w:color w:val="000000"/>
          <w:sz w:val="22"/>
          <w:lang w:val="es-AR"/>
        </w:rPr>
        <w:t>de los cortes con anticuerpos específicos conjugados a fluorocromos, para las distintas poblaciones linfocitarias, mencionadas en el punto anterior.</w:t>
      </w:r>
    </w:p>
    <w:p w14:paraId="5E1514A7" w14:textId="77777777" w:rsidR="00000000" w:rsidRDefault="00AA47AD">
      <w:pPr>
        <w:pStyle w:val="Predeterminado"/>
        <w:numPr>
          <w:ilvl w:val="0"/>
          <w:numId w:val="4"/>
        </w:numPr>
        <w:spacing w:line="360" w:lineRule="auto"/>
        <w:ind w:left="284" w:hanging="284"/>
        <w:jc w:val="both"/>
      </w:pPr>
      <w:r>
        <w:rPr>
          <w:color w:val="000000"/>
          <w:sz w:val="22"/>
          <w:lang w:val="es-AR"/>
        </w:rPr>
        <w:t>Evaluación de metástasis espontáneas: al momento del sacrificio de los animales portadores de tumor se i</w:t>
      </w:r>
      <w:r>
        <w:rPr>
          <w:color w:val="000000"/>
          <w:sz w:val="22"/>
          <w:lang w:val="es-AR"/>
        </w:rPr>
        <w:t>nspeccionarán los órganos como pulmón, hígado, cerebro y riñón a fin de detectar la presencia de nódulos metastásicos. Los órganos con metástasis serán sometidos a análisis histopatológico</w:t>
      </w:r>
    </w:p>
    <w:p w14:paraId="69C62F4B" w14:textId="77777777" w:rsidR="00000000" w:rsidRDefault="00AA47AD">
      <w:pPr>
        <w:pStyle w:val="Predeterminado"/>
        <w:spacing w:line="360" w:lineRule="auto"/>
        <w:jc w:val="both"/>
      </w:pPr>
    </w:p>
    <w:p w14:paraId="73114E46" w14:textId="77777777" w:rsidR="00000000" w:rsidRDefault="00AA47AD">
      <w:pPr>
        <w:pStyle w:val="Predeterminado"/>
        <w:spacing w:line="360" w:lineRule="auto"/>
        <w:jc w:val="both"/>
      </w:pPr>
      <w:r>
        <w:rPr>
          <w:b/>
          <w:color w:val="000000"/>
          <w:sz w:val="22"/>
          <w:lang w:val="es-AR"/>
        </w:rPr>
        <w:t>3.6 Desarrollo del Trabajo</w:t>
      </w:r>
    </w:p>
    <w:p w14:paraId="79F4C132" w14:textId="77777777" w:rsidR="00000000" w:rsidRDefault="00AA47AD">
      <w:pPr>
        <w:pStyle w:val="Predeterminado"/>
        <w:spacing w:line="360" w:lineRule="auto"/>
        <w:jc w:val="both"/>
      </w:pPr>
    </w:p>
    <w:p w14:paraId="3DA49F6A" w14:textId="77777777" w:rsidR="00000000" w:rsidRDefault="00AA47AD">
      <w:pPr>
        <w:pStyle w:val="Predeterminado"/>
        <w:spacing w:line="360" w:lineRule="auto"/>
        <w:jc w:val="both"/>
      </w:pPr>
      <w:r>
        <w:rPr>
          <w:color w:val="000000"/>
          <w:sz w:val="22"/>
          <w:lang w:val="es-AR"/>
        </w:rPr>
        <w:t>Desarrollado en los puntos 3.5.4, 3.5.</w:t>
      </w:r>
      <w:r>
        <w:rPr>
          <w:color w:val="000000"/>
          <w:sz w:val="22"/>
          <w:lang w:val="es-AR"/>
        </w:rPr>
        <w:t>5 y 3.5.6</w:t>
      </w:r>
    </w:p>
    <w:p w14:paraId="6F846FE9" w14:textId="77777777" w:rsidR="00000000" w:rsidRDefault="00AA47AD">
      <w:pPr>
        <w:pStyle w:val="Predeterminado"/>
        <w:spacing w:line="360" w:lineRule="auto"/>
        <w:jc w:val="both"/>
      </w:pPr>
    </w:p>
    <w:p w14:paraId="46C625A5" w14:textId="77777777" w:rsidR="00000000" w:rsidRDefault="00AA47AD">
      <w:pPr>
        <w:pStyle w:val="Predeterminado"/>
        <w:spacing w:line="360" w:lineRule="auto"/>
        <w:jc w:val="both"/>
      </w:pPr>
      <w:r>
        <w:rPr>
          <w:b/>
          <w:color w:val="000000"/>
          <w:sz w:val="22"/>
        </w:rPr>
        <w:t xml:space="preserve">3.7 Bibliografía </w:t>
      </w:r>
    </w:p>
    <w:p w14:paraId="3A9F0947" w14:textId="77777777" w:rsidR="00000000" w:rsidRDefault="00AA47AD">
      <w:pPr>
        <w:pStyle w:val="Predeterminado"/>
        <w:spacing w:line="360" w:lineRule="auto"/>
        <w:jc w:val="both"/>
      </w:pPr>
    </w:p>
    <w:p w14:paraId="0233B693" w14:textId="77777777" w:rsidR="00000000" w:rsidRDefault="00AA47AD">
      <w:pPr>
        <w:pStyle w:val="Predeterminado"/>
        <w:spacing w:before="280" w:after="280" w:line="360" w:lineRule="auto"/>
        <w:ind w:left="567" w:hanging="567"/>
      </w:pPr>
      <w:r>
        <w:rPr>
          <w:color w:val="000000"/>
          <w:sz w:val="22"/>
        </w:rPr>
        <w:t xml:space="preserve">Ahmed, A. E. R., &amp; Labavitch, J. M. (1977). A simplified method for accurate determination of cell wall uronide content. Journal of Food Biochemistry, 1, 361–365. </w:t>
      </w:r>
    </w:p>
    <w:p w14:paraId="14EFC759" w14:textId="77777777" w:rsidR="00000000" w:rsidRDefault="00AA47AD">
      <w:pPr>
        <w:pStyle w:val="Predeterminado"/>
        <w:spacing w:before="100" w:after="100" w:line="360" w:lineRule="auto"/>
        <w:ind w:left="567" w:hanging="480"/>
        <w:jc w:val="both"/>
      </w:pPr>
      <w:r>
        <w:rPr>
          <w:rFonts w:hAnsi="Verdana"/>
          <w:color w:val="000000"/>
          <w:sz w:val="22"/>
        </w:rPr>
        <w:t>Albersheim, A., Darvill, A., Roberts, K., Sederoff, R., Staehe</w:t>
      </w:r>
      <w:r>
        <w:rPr>
          <w:rFonts w:hAnsi="Verdana"/>
          <w:color w:val="000000"/>
          <w:sz w:val="22"/>
        </w:rPr>
        <w:t>lin A. (2011) Plant Cell Walls, from Chemistry to Biology. In: Garland Sc. New York</w:t>
      </w:r>
    </w:p>
    <w:p w14:paraId="4DBF5FAD" w14:textId="77777777" w:rsidR="00000000" w:rsidRDefault="00AA47AD">
      <w:pPr>
        <w:pStyle w:val="Predeterminado"/>
        <w:spacing w:before="100" w:after="100" w:line="360" w:lineRule="auto"/>
        <w:ind w:left="567" w:hanging="480"/>
        <w:jc w:val="both"/>
      </w:pPr>
      <w:r>
        <w:rPr>
          <w:rFonts w:hAnsi="Verdana"/>
          <w:color w:val="000000"/>
          <w:sz w:val="22"/>
        </w:rPr>
        <w:t>Ausubel F.M. (2005) Are innate immune signaling pathways in plants and animals conserved? Nature Immunol 6:973</w:t>
      </w:r>
      <w:r>
        <w:rPr>
          <w:rFonts w:hAnsi="Verdana"/>
          <w:color w:val="000000"/>
          <w:sz w:val="22"/>
        </w:rPr>
        <w:t>–</w:t>
      </w:r>
      <w:r>
        <w:rPr>
          <w:rFonts w:hAnsi="Verdana"/>
          <w:color w:val="000000"/>
          <w:sz w:val="22"/>
        </w:rPr>
        <w:t>979.</w:t>
      </w:r>
    </w:p>
    <w:p w14:paraId="41C63F1F" w14:textId="77777777" w:rsidR="00000000" w:rsidRDefault="00AA47AD">
      <w:pPr>
        <w:pStyle w:val="Predeterminado"/>
        <w:spacing w:before="100" w:after="100" w:line="360" w:lineRule="auto"/>
        <w:ind w:left="567" w:hanging="480"/>
        <w:jc w:val="both"/>
      </w:pPr>
      <w:r>
        <w:rPr>
          <w:color w:val="000000"/>
          <w:sz w:val="22"/>
        </w:rPr>
        <w:t xml:space="preserve">Bao, X., Yuan, H., Wang, C., Liu, J., &amp; Lan, M. (2013). </w:t>
      </w:r>
      <w:r>
        <w:rPr>
          <w:color w:val="000000"/>
          <w:sz w:val="22"/>
        </w:rPr>
        <w:t xml:space="preserve">Antitumor and immunomodulatory activities of a polysaccharide from Artemisia argyi. Carbohydrate Polymers, 98, 1236–1243. </w:t>
      </w:r>
    </w:p>
    <w:p w14:paraId="6D7068D8" w14:textId="77777777" w:rsidR="00000000" w:rsidRDefault="00AA47AD">
      <w:pPr>
        <w:pStyle w:val="Predeterminado"/>
        <w:spacing w:line="360" w:lineRule="auto"/>
        <w:ind w:left="567" w:hanging="567"/>
        <w:jc w:val="both"/>
      </w:pPr>
      <w:r>
        <w:rPr>
          <w:color w:val="000000"/>
          <w:sz w:val="22"/>
          <w:lang w:eastAsia="es-AR"/>
        </w:rPr>
        <w:t>Bar-Peled M, O'Neill, MA. 2011. Plant nucleotide sugar formation, interconversion, and salvage by sugar recycling. Annu Rev Plant Bio</w:t>
      </w:r>
      <w:r>
        <w:rPr>
          <w:color w:val="000000"/>
          <w:sz w:val="22"/>
          <w:lang w:eastAsia="es-AR"/>
        </w:rPr>
        <w:t>l. 62:127–155</w:t>
      </w:r>
    </w:p>
    <w:p w14:paraId="0C73057B" w14:textId="77777777" w:rsidR="00000000" w:rsidRDefault="00AA47AD">
      <w:pPr>
        <w:pStyle w:val="Predeterminado"/>
        <w:spacing w:line="360" w:lineRule="auto"/>
        <w:ind w:left="567" w:hanging="567"/>
        <w:jc w:val="both"/>
      </w:pPr>
      <w:r>
        <w:rPr>
          <w:noProof/>
          <w:color w:val="000000"/>
          <w:sz w:val="22"/>
        </w:rPr>
        <w:t>Braidwood, L., C. Breuer, and K. Sugimoto. 2014. My body is a cage: Mechanisms and modulation of plant cell growth. New Phytol. doi: 10.1111/nph.12473</w:t>
      </w:r>
      <w:r>
        <w:rPr>
          <w:rFonts w:hAnsi="Verdana"/>
          <w:color w:val="000000"/>
          <w:sz w:val="22"/>
        </w:rPr>
        <w:t>Brett, C. and Waldron K. (1990) Physiology and biochemistry of plant cell walls. Unwin Hyman</w:t>
      </w:r>
    </w:p>
    <w:p w14:paraId="33A5FF73" w14:textId="77777777" w:rsidR="00000000" w:rsidRDefault="00AA47AD">
      <w:pPr>
        <w:pStyle w:val="Predeterminado"/>
        <w:spacing w:before="100" w:after="100" w:line="360" w:lineRule="auto"/>
        <w:ind w:left="567" w:hanging="480"/>
        <w:jc w:val="both"/>
      </w:pPr>
      <w:r>
        <w:rPr>
          <w:rFonts w:hAnsi="Verdana"/>
          <w:color w:val="000000"/>
          <w:sz w:val="22"/>
        </w:rPr>
        <w:t>Buchanan, B., Gruissem, W., Jones R. (2000) Biochemistry and molecular biology of plants (A.S. of plant Biology, Ed.).</w:t>
      </w:r>
    </w:p>
    <w:p w14:paraId="0245A85C" w14:textId="77777777" w:rsidR="00000000" w:rsidRDefault="00AA47AD">
      <w:pPr>
        <w:pStyle w:val="Predeterminado"/>
        <w:spacing w:line="360" w:lineRule="auto"/>
        <w:ind w:left="567" w:hanging="567"/>
        <w:jc w:val="both"/>
      </w:pPr>
      <w:r>
        <w:rPr>
          <w:color w:val="000000"/>
          <w:sz w:val="22"/>
          <w:lang w:eastAsia="es-AR"/>
        </w:rPr>
        <w:t xml:space="preserve"> </w:t>
      </w:r>
      <w:r>
        <w:rPr>
          <w:color w:val="000000"/>
          <w:sz w:val="22"/>
          <w:lang w:val="es-ES" w:eastAsia="es-AR"/>
        </w:rPr>
        <w:t xml:space="preserve">Bondi, A. (1988) Nutrición Animal. </w:t>
      </w:r>
      <w:r>
        <w:rPr>
          <w:color w:val="000000"/>
          <w:sz w:val="22"/>
          <w:lang w:eastAsia="es-AR"/>
        </w:rPr>
        <w:t>Editorial Acribia, Zaragoza Espana546 pp</w:t>
      </w:r>
    </w:p>
    <w:p w14:paraId="45589322" w14:textId="77777777" w:rsidR="00000000" w:rsidRDefault="00AA47AD">
      <w:pPr>
        <w:pStyle w:val="Predeterminado"/>
        <w:spacing w:line="360" w:lineRule="auto"/>
        <w:ind w:left="567" w:hanging="567"/>
        <w:jc w:val="both"/>
      </w:pPr>
      <w:r>
        <w:rPr>
          <w:color w:val="000000"/>
          <w:sz w:val="22"/>
        </w:rPr>
        <w:t>Cayrol, F., et al., Integrin alphavbeta3 acting as membrane</w:t>
      </w:r>
      <w:r>
        <w:rPr>
          <w:color w:val="000000"/>
          <w:sz w:val="22"/>
        </w:rPr>
        <w:t xml:space="preserve"> receptor for thyroid hormones mediates </w:t>
      </w:r>
      <w:r>
        <w:rPr>
          <w:color w:val="000000"/>
        </w:rPr>
        <w:t>angiogenesis in malignant T cells. Blood, 2015. 125(5): p. 841-51.</w:t>
      </w:r>
    </w:p>
    <w:p w14:paraId="721164A7" w14:textId="77777777" w:rsidR="00000000" w:rsidRDefault="00AA47AD">
      <w:pPr>
        <w:pStyle w:val="Predeterminado"/>
        <w:spacing w:before="280" w:after="280" w:line="360" w:lineRule="auto"/>
        <w:ind w:left="567" w:hanging="567"/>
      </w:pPr>
      <w:r>
        <w:rPr>
          <w:color w:val="000000"/>
          <w:sz w:val="22"/>
        </w:rPr>
        <w:t xml:space="preserve">Ciucanu, I., &amp; Kerek, K. (1984). A simple and rapid method for the permethylation of carbohydrates. Carbohydrate Research, 134, 209–217. </w:t>
      </w:r>
    </w:p>
    <w:p w14:paraId="204F61B1" w14:textId="77777777" w:rsidR="00000000" w:rsidRDefault="00AA47AD">
      <w:pPr>
        <w:pStyle w:val="Predeterminado"/>
        <w:spacing w:line="360" w:lineRule="auto"/>
        <w:ind w:left="567" w:hanging="567"/>
        <w:jc w:val="both"/>
      </w:pPr>
      <w:r>
        <w:rPr>
          <w:rFonts w:hAnsi="Verdana"/>
          <w:color w:val="000000"/>
          <w:sz w:val="22"/>
        </w:rPr>
        <w:lastRenderedPageBreak/>
        <w:t>Dangl J.L., Jones J.D.G. (2001) Plant pathogens and integrated defence responses to infection. Nature 411:826</w:t>
      </w:r>
      <w:r>
        <w:rPr>
          <w:rFonts w:hAnsi="Verdana"/>
          <w:color w:val="000000"/>
          <w:sz w:val="22"/>
        </w:rPr>
        <w:t>–</w:t>
      </w:r>
      <w:r>
        <w:rPr>
          <w:rFonts w:hAnsi="Verdana"/>
          <w:color w:val="000000"/>
          <w:sz w:val="22"/>
        </w:rPr>
        <w:t xml:space="preserve">833. [online] URL: </w:t>
      </w:r>
      <w:hyperlink r:id="rId16" w:history="1">
        <w:r>
          <w:rPr>
            <w:rFonts w:hAnsi="Verdana"/>
            <w:color w:val="000000"/>
            <w:sz w:val="22"/>
            <w:u w:val="single"/>
          </w:rPr>
          <w:t>http://dx.doi.org/10.1038/35081161</w:t>
        </w:r>
      </w:hyperlink>
    </w:p>
    <w:p w14:paraId="20638311" w14:textId="77777777" w:rsidR="00000000" w:rsidRDefault="00AA47AD">
      <w:pPr>
        <w:pStyle w:val="Predeterminado"/>
        <w:spacing w:before="100" w:after="100" w:line="360" w:lineRule="auto"/>
        <w:ind w:left="567" w:hanging="567"/>
        <w:jc w:val="both"/>
      </w:pPr>
      <w:r>
        <w:rPr>
          <w:rFonts w:hAnsi="Verdana"/>
          <w:color w:val="000000"/>
          <w:sz w:val="22"/>
        </w:rPr>
        <w:t xml:space="preserve">Dita, M. A., Rispail, N., Prats, E., Rubiales, D., and Singh, K. B. 2006. Biotechnology approaches to overcome biotic and abiotic stress constraints in legumes. </w:t>
      </w:r>
      <w:r>
        <w:rPr>
          <w:rFonts w:hAnsi="Verdana"/>
          <w:color w:val="000000"/>
          <w:sz w:val="22"/>
          <w:lang w:val="es-ES"/>
        </w:rPr>
        <w:t>Euphytica 147: 1</w:t>
      </w:r>
      <w:r>
        <w:rPr>
          <w:rFonts w:hAnsi="Verdana"/>
          <w:color w:val="000000"/>
          <w:sz w:val="22"/>
          <w:lang w:val="es-ES"/>
        </w:rPr>
        <w:t>–</w:t>
      </w:r>
      <w:r>
        <w:rPr>
          <w:rFonts w:hAnsi="Verdana"/>
          <w:color w:val="000000"/>
          <w:sz w:val="22"/>
          <w:lang w:val="es-ES"/>
        </w:rPr>
        <w:t xml:space="preserve">24 </w:t>
      </w:r>
    </w:p>
    <w:p w14:paraId="24A7ECC2" w14:textId="77777777" w:rsidR="00000000" w:rsidRDefault="00AA47AD">
      <w:pPr>
        <w:pStyle w:val="Predeterminado"/>
        <w:spacing w:before="280" w:after="280" w:line="360" w:lineRule="auto"/>
        <w:ind w:left="567" w:hanging="567"/>
      </w:pPr>
      <w:r>
        <w:rPr>
          <w:color w:val="000000"/>
          <w:sz w:val="22"/>
        </w:rPr>
        <w:t>Dubois, M., Gilles, K. A., Hamilton, J. K., Rebers, P. A., &amp; Smith, F. (19</w:t>
      </w:r>
      <w:r>
        <w:rPr>
          <w:color w:val="000000"/>
          <w:sz w:val="22"/>
        </w:rPr>
        <w:t xml:space="preserve">56). Colorimetric method of determination of sugars and related substances. </w:t>
      </w:r>
    </w:p>
    <w:p w14:paraId="59329030" w14:textId="77777777" w:rsidR="00000000" w:rsidRDefault="00AA47AD">
      <w:pPr>
        <w:pStyle w:val="Predeterminado"/>
        <w:spacing w:before="100" w:after="100" w:line="360" w:lineRule="auto"/>
        <w:ind w:left="567" w:hanging="480"/>
        <w:jc w:val="both"/>
      </w:pPr>
      <w:r>
        <w:rPr>
          <w:sz w:val="22"/>
          <w:lang w:val="pt-BR"/>
        </w:rPr>
        <w:t xml:space="preserve">Estevez JM, Fernández PV, Kasulin L, Dupree P, Ciancia M 2009. </w:t>
      </w:r>
      <w:r>
        <w:rPr>
          <w:sz w:val="22"/>
          <w:lang w:val="en-GB"/>
        </w:rPr>
        <w:t>Chemical and in situ characterization of macromolecular components of the cell walls from the green seaweed Codium f</w:t>
      </w:r>
      <w:r>
        <w:rPr>
          <w:sz w:val="22"/>
          <w:lang w:val="en-GB"/>
        </w:rPr>
        <w:t>ragile, Glycobiol. 19: 212-228.</w:t>
      </w:r>
    </w:p>
    <w:p w14:paraId="03D266BF" w14:textId="77777777" w:rsidR="00000000" w:rsidRDefault="00AA47AD">
      <w:pPr>
        <w:pStyle w:val="Predeterminado"/>
        <w:spacing w:before="280" w:after="280" w:line="360" w:lineRule="auto"/>
        <w:ind w:left="567" w:hanging="567"/>
      </w:pPr>
      <w:r>
        <w:rPr>
          <w:color w:val="000000"/>
          <w:sz w:val="22"/>
        </w:rPr>
        <w:t>Filisetti-Cozzi, T. M. C. C., &amp; Carpita, N. C. (1991). Measurement of uronic acids without interference from neutral sugars. Analytical Biochemistry, 197, 157–162.</w:t>
      </w:r>
    </w:p>
    <w:p w14:paraId="39BC50AE" w14:textId="77777777" w:rsidR="00000000" w:rsidRDefault="00AA47AD">
      <w:pPr>
        <w:pStyle w:val="Predeterminado"/>
        <w:spacing w:before="100" w:after="100" w:line="360" w:lineRule="auto"/>
        <w:ind w:left="567" w:hanging="567"/>
        <w:jc w:val="both"/>
      </w:pPr>
      <w:r>
        <w:rPr>
          <w:color w:val="000000"/>
          <w:sz w:val="22"/>
        </w:rPr>
        <w:t>Frick LR, Rapanelli M, Bussmann UA, Klecha AJ, Arcos ML, Gen</w:t>
      </w:r>
      <w:r>
        <w:rPr>
          <w:color w:val="000000"/>
          <w:sz w:val="22"/>
        </w:rPr>
        <w:t xml:space="preserve">aro AM, Cremaschi GA. Involvement of thyroid hormones in the alterations of T-cell immunity and tumor progression induced by chronic stress.Biol Psychiatry. 2009. 65(11):935-942.  </w:t>
      </w:r>
    </w:p>
    <w:p w14:paraId="086FEBE5" w14:textId="77777777" w:rsidR="00000000" w:rsidRDefault="00AA47AD">
      <w:pPr>
        <w:pStyle w:val="Predeterminado"/>
        <w:widowControl w:val="0"/>
        <w:spacing w:line="360" w:lineRule="auto"/>
        <w:ind w:left="567" w:hanging="480"/>
        <w:jc w:val="both"/>
      </w:pPr>
      <w:r>
        <w:rPr>
          <w:noProof/>
          <w:color w:val="000000"/>
          <w:sz w:val="22"/>
        </w:rPr>
        <w:t>Graham, P.H., and C.P. Vance. 2003. Update on Legume Utilization Legumes</w:t>
      </w:r>
      <w:r>
        <w:rPr>
          <w:noProof/>
          <w:color w:val="000000"/>
          <w:sz w:val="22"/>
        </w:rPr>
        <w:t> </w:t>
      </w:r>
      <w:r>
        <w:rPr>
          <w:noProof/>
          <w:color w:val="000000"/>
          <w:sz w:val="22"/>
        </w:rPr>
        <w:t xml:space="preserve">: </w:t>
      </w:r>
      <w:r>
        <w:rPr>
          <w:noProof/>
          <w:color w:val="000000"/>
          <w:sz w:val="22"/>
        </w:rPr>
        <w:t>Importance and Constraints to Greater Use. 131: 872–877. doi: 10.1104/pp.017004.872.</w:t>
      </w:r>
    </w:p>
    <w:p w14:paraId="48B96B03" w14:textId="77777777" w:rsidR="00000000" w:rsidRDefault="00AA47AD">
      <w:pPr>
        <w:pStyle w:val="Predeterminado"/>
        <w:spacing w:before="100" w:after="100" w:line="360" w:lineRule="auto"/>
        <w:ind w:left="567" w:hanging="480"/>
        <w:jc w:val="both"/>
      </w:pPr>
      <w:r>
        <w:rPr>
          <w:rFonts w:hAnsi="Verdana"/>
          <w:color w:val="000000"/>
          <w:sz w:val="22"/>
        </w:rPr>
        <w:t>Hayashi N., Kondo T., Ishihara M. (2005) Enzymatically produced nano-ordered short elements containing cellulose I</w:t>
      </w:r>
      <w:r>
        <w:rPr>
          <w:rFonts w:hAnsi="Verdana"/>
          <w:color w:val="000000"/>
          <w:sz w:val="22"/>
        </w:rPr>
        <w:t>β</w:t>
      </w:r>
      <w:r>
        <w:rPr>
          <w:rFonts w:hAnsi="Verdana"/>
          <w:color w:val="000000"/>
          <w:sz w:val="22"/>
        </w:rPr>
        <w:t xml:space="preserve"> crystalline domains. Carbohydrate Polymers 61:191</w:t>
      </w:r>
      <w:r>
        <w:rPr>
          <w:rFonts w:hAnsi="Verdana"/>
          <w:color w:val="000000"/>
          <w:sz w:val="22"/>
        </w:rPr>
        <w:t>–</w:t>
      </w:r>
      <w:r>
        <w:rPr>
          <w:rFonts w:hAnsi="Verdana"/>
          <w:color w:val="000000"/>
          <w:sz w:val="22"/>
        </w:rPr>
        <w:t xml:space="preserve">197. </w:t>
      </w:r>
      <w:r>
        <w:rPr>
          <w:rFonts w:hAnsi="Verdana"/>
          <w:color w:val="000000"/>
          <w:sz w:val="22"/>
        </w:rPr>
        <w:t>[online] URL: http://linkinghub.elsevier.com/retrieve/pii/S0144861705001608 (accessed 6 March 2013).</w:t>
      </w:r>
    </w:p>
    <w:p w14:paraId="0C4B1C1F" w14:textId="77777777" w:rsidR="00000000" w:rsidRDefault="00AA47AD">
      <w:pPr>
        <w:pStyle w:val="Predeterminado"/>
        <w:spacing w:before="100" w:after="100" w:line="360" w:lineRule="auto"/>
        <w:ind w:left="567" w:hanging="480"/>
        <w:jc w:val="both"/>
      </w:pPr>
      <w:r>
        <w:rPr>
          <w:sz w:val="22"/>
        </w:rPr>
        <w:t xml:space="preserve">Ji, X., Peng, Q., Li, H., Liu, F., &amp; Wang, M. (2017). Chemical Characterization and Anti-inflammatory Activity of Polysaccharides from </w:t>
      </w:r>
      <w:r>
        <w:rPr>
          <w:i/>
          <w:sz w:val="22"/>
        </w:rPr>
        <w:t xml:space="preserve">Zizyphus jujube cv. </w:t>
      </w:r>
      <w:r>
        <w:rPr>
          <w:i/>
          <w:sz w:val="22"/>
        </w:rPr>
        <w:t>Muzao</w:t>
      </w:r>
      <w:r>
        <w:rPr>
          <w:sz w:val="22"/>
        </w:rPr>
        <w:t xml:space="preserve">. </w:t>
      </w:r>
      <w:r>
        <w:rPr>
          <w:i/>
          <w:sz w:val="22"/>
        </w:rPr>
        <w:t xml:space="preserve">International Journal of Food Engineering. </w:t>
      </w:r>
      <w:r>
        <w:rPr>
          <w:sz w:val="22"/>
        </w:rPr>
        <w:t>DOI: 101515/ijfe-20160382.</w:t>
      </w:r>
    </w:p>
    <w:p w14:paraId="3882966C" w14:textId="77777777" w:rsidR="00000000" w:rsidRDefault="00AA47AD">
      <w:pPr>
        <w:pStyle w:val="Predeterminado"/>
        <w:spacing w:before="100" w:after="100" w:line="360" w:lineRule="auto"/>
        <w:ind w:left="567" w:hanging="480"/>
        <w:jc w:val="both"/>
      </w:pPr>
      <w:r>
        <w:rPr>
          <w:sz w:val="22"/>
        </w:rPr>
        <w:t>Ji, X., Peng, Q., Yuan, Y., Shen, J., Xie, X., &amp; Wang, M. (2017). Isolation, structures and bioactivities of the polysaccharides from jujube fruit (</w:t>
      </w:r>
      <w:r>
        <w:rPr>
          <w:i/>
          <w:sz w:val="22"/>
        </w:rPr>
        <w:t xml:space="preserve">Ziziphus jujuba </w:t>
      </w:r>
      <w:r>
        <w:rPr>
          <w:sz w:val="22"/>
        </w:rPr>
        <w:t>Mill.): A revie</w:t>
      </w:r>
      <w:r>
        <w:rPr>
          <w:sz w:val="22"/>
        </w:rPr>
        <w:t xml:space="preserve">w. </w:t>
      </w:r>
      <w:r>
        <w:rPr>
          <w:i/>
          <w:sz w:val="22"/>
        </w:rPr>
        <w:t>Food Chemistry, 227</w:t>
      </w:r>
      <w:r>
        <w:rPr>
          <w:sz w:val="22"/>
        </w:rPr>
        <w:t>, 349-357.</w:t>
      </w:r>
    </w:p>
    <w:p w14:paraId="04D179D1" w14:textId="77777777" w:rsidR="00000000" w:rsidRDefault="00AA47AD">
      <w:pPr>
        <w:pStyle w:val="Predeterminado"/>
        <w:spacing w:before="100" w:after="100" w:line="360" w:lineRule="auto"/>
        <w:ind w:left="567" w:hanging="567"/>
        <w:jc w:val="both"/>
      </w:pPr>
      <w:r>
        <w:rPr>
          <w:color w:val="000000"/>
          <w:sz w:val="22"/>
        </w:rPr>
        <w:t xml:space="preserve">Ji, X. et al 2019 A mini-review of isolation, chemical properties and bioactivities of polysaccharides from buckwheat (Fagopyrum Mill) International Journal of Biological Macromolecules 127 (2019) 204–209 </w:t>
      </w:r>
    </w:p>
    <w:p w14:paraId="733AEC76" w14:textId="77777777" w:rsidR="00000000" w:rsidRDefault="00AA47AD">
      <w:pPr>
        <w:pStyle w:val="Predeterminado"/>
        <w:spacing w:before="100" w:after="100" w:line="360" w:lineRule="auto"/>
        <w:ind w:left="567" w:hanging="480"/>
        <w:jc w:val="both"/>
      </w:pPr>
      <w:r>
        <w:rPr>
          <w:rFonts w:hAnsi="Verdana"/>
          <w:color w:val="000000"/>
          <w:sz w:val="22"/>
        </w:rPr>
        <w:lastRenderedPageBreak/>
        <w:t>Jones J.D.G., Dan</w:t>
      </w:r>
      <w:r>
        <w:rPr>
          <w:rFonts w:hAnsi="Verdana"/>
          <w:color w:val="000000"/>
          <w:sz w:val="22"/>
        </w:rPr>
        <w:t>gl J.L. (2006) The plant immune system. Nature 444:323</w:t>
      </w:r>
      <w:r>
        <w:rPr>
          <w:rFonts w:hAnsi="Verdana"/>
          <w:color w:val="000000"/>
          <w:sz w:val="22"/>
        </w:rPr>
        <w:t>–</w:t>
      </w:r>
      <w:r>
        <w:rPr>
          <w:rFonts w:hAnsi="Verdana"/>
          <w:color w:val="000000"/>
          <w:sz w:val="22"/>
        </w:rPr>
        <w:t>9. [online] URL: http://www.ncbi.nlm.nih.gov/pubmed/17108957.</w:t>
      </w:r>
    </w:p>
    <w:p w14:paraId="368E6B25" w14:textId="77777777" w:rsidR="00000000" w:rsidRDefault="00AA47AD">
      <w:pPr>
        <w:pStyle w:val="Predeterminado"/>
        <w:widowControl w:val="0"/>
        <w:spacing w:line="360" w:lineRule="auto"/>
        <w:ind w:left="480" w:hanging="480"/>
        <w:jc w:val="both"/>
      </w:pPr>
      <w:r>
        <w:rPr>
          <w:noProof/>
          <w:color w:val="000000"/>
          <w:sz w:val="22"/>
        </w:rPr>
        <w:t xml:space="preserve">Kesten, C., A. Menna, and C. Sánchez-Rodríguez. 2017. Regulation of cellulose synthesis in response to stress. Curr. Opin. Plant Biol. 40: </w:t>
      </w:r>
      <w:r>
        <w:rPr>
          <w:noProof/>
          <w:color w:val="000000"/>
          <w:sz w:val="22"/>
        </w:rPr>
        <w:t>106–113. doi: 10.1016/j.pbi.2017.08.010.</w:t>
      </w:r>
    </w:p>
    <w:p w14:paraId="10B14316" w14:textId="77777777" w:rsidR="00000000" w:rsidRDefault="00AA47AD">
      <w:pPr>
        <w:pStyle w:val="Predeterminado"/>
        <w:spacing w:before="100" w:after="100" w:line="360" w:lineRule="auto"/>
        <w:ind w:left="567" w:hanging="480"/>
        <w:jc w:val="both"/>
      </w:pPr>
      <w:r>
        <w:rPr>
          <w:rFonts w:hAnsi="Verdana"/>
          <w:color w:val="000000"/>
          <w:sz w:val="22"/>
        </w:rPr>
        <w:t>Krauss G-J, Nies D.H (2015) Ecological biochemistry Environmental and Interspecies Interactions Wiley-VCH Verlag GmbH &amp; Co KGaA, Boscstr.12, 69469 Weinham, Germany ISBN: 978-3-527-31650-2</w:t>
      </w:r>
    </w:p>
    <w:p w14:paraId="7B6751E5" w14:textId="77777777" w:rsidR="00000000" w:rsidRDefault="00AA47AD">
      <w:pPr>
        <w:pStyle w:val="Predeterminado"/>
        <w:spacing w:before="100" w:after="100" w:line="360" w:lineRule="auto"/>
        <w:ind w:left="567" w:hanging="480"/>
        <w:jc w:val="both"/>
      </w:pPr>
      <w:r>
        <w:rPr>
          <w:sz w:val="22"/>
        </w:rPr>
        <w:t xml:space="preserve">Maxwell, E. G., Colquhoun, </w:t>
      </w:r>
      <w:r>
        <w:rPr>
          <w:sz w:val="22"/>
        </w:rPr>
        <w:t xml:space="preserve">I. J., Chau, H. K., Hotchkiss, A. T., Waldron, K. W., Morris, V. J., and Belshaw, N. J., Modified sugar beet pectin induces apoptosis of colon cancer cells via an interaction with the neutral sugar side-chains, </w:t>
      </w:r>
      <w:r>
        <w:rPr>
          <w:i/>
          <w:sz w:val="22"/>
        </w:rPr>
        <w:t xml:space="preserve">Carbohydrate Polymers </w:t>
      </w:r>
      <w:r>
        <w:rPr>
          <w:sz w:val="22"/>
        </w:rPr>
        <w:t>(2015), http://dx.doi.o</w:t>
      </w:r>
      <w:r>
        <w:rPr>
          <w:sz w:val="22"/>
        </w:rPr>
        <w:t xml:space="preserve">rg/10.1016/j.carbpol.2015.09.063 </w:t>
      </w:r>
    </w:p>
    <w:p w14:paraId="45BDB328" w14:textId="77777777" w:rsidR="00000000" w:rsidRDefault="00AA47AD">
      <w:pPr>
        <w:pStyle w:val="Predeterminado"/>
        <w:spacing w:before="100" w:after="100" w:line="360" w:lineRule="auto"/>
        <w:ind w:left="567" w:hanging="480"/>
        <w:jc w:val="both"/>
      </w:pPr>
      <w:r>
        <w:rPr>
          <w:rFonts w:hAnsi="Verdana"/>
          <w:color w:val="000000"/>
          <w:sz w:val="22"/>
        </w:rPr>
        <w:t>Minson D. (1990) Forage in ruminant nutrition. Academic Press, Inc., San Diego, Califormia 92101.</w:t>
      </w:r>
    </w:p>
    <w:p w14:paraId="198ECDD7" w14:textId="77777777" w:rsidR="00000000" w:rsidRDefault="00AA47AD">
      <w:pPr>
        <w:pStyle w:val="Predeterminado"/>
        <w:spacing w:before="100" w:after="100" w:line="360" w:lineRule="auto"/>
        <w:ind w:left="567" w:hanging="480"/>
        <w:jc w:val="both"/>
      </w:pPr>
      <w:r>
        <w:rPr>
          <w:rFonts w:hAnsi="Verdana"/>
          <w:color w:val="000000"/>
          <w:sz w:val="22"/>
        </w:rPr>
        <w:t>Obata, T., Fernie A.R. (2012) The use of metabolomics to dissect plant responses to abiotic stresses. Cellular and molecular</w:t>
      </w:r>
      <w:r>
        <w:rPr>
          <w:rFonts w:hAnsi="Verdana"/>
          <w:color w:val="000000"/>
          <w:sz w:val="22"/>
        </w:rPr>
        <w:t xml:space="preserve"> life sciences</w:t>
      </w:r>
      <w:r>
        <w:rPr>
          <w:rFonts w:hAnsi="Verdana"/>
          <w:color w:val="000000"/>
          <w:sz w:val="22"/>
        </w:rPr>
        <w:t> </w:t>
      </w:r>
      <w:r>
        <w:rPr>
          <w:rFonts w:hAnsi="Verdana"/>
          <w:color w:val="000000"/>
          <w:sz w:val="22"/>
        </w:rPr>
        <w:t>: CMLS 69:3225</w:t>
      </w:r>
      <w:r>
        <w:rPr>
          <w:rFonts w:hAnsi="Verdana"/>
          <w:color w:val="000000"/>
          <w:sz w:val="22"/>
        </w:rPr>
        <w:t>–</w:t>
      </w:r>
      <w:r>
        <w:rPr>
          <w:rFonts w:hAnsi="Verdana"/>
          <w:color w:val="000000"/>
          <w:sz w:val="22"/>
        </w:rPr>
        <w:t>43. [online] URL:http://www.pubmedcentral.nih.gov/articlerender.fcgi?artid=3437017&amp;tool=pmcentrez&amp;rendertype=abstract.</w:t>
      </w:r>
    </w:p>
    <w:p w14:paraId="167B6F73" w14:textId="77777777" w:rsidR="00000000" w:rsidRDefault="00AA47AD">
      <w:pPr>
        <w:pStyle w:val="Predeterminado"/>
        <w:spacing w:before="100" w:after="100" w:line="360" w:lineRule="auto"/>
        <w:jc w:val="both"/>
      </w:pPr>
      <w:r>
        <w:rPr>
          <w:rFonts w:hAnsi="Verdana"/>
          <w:color w:val="000000"/>
          <w:sz w:val="22"/>
        </w:rPr>
        <w:t>Painter T.J. (1983) The polysaccharides. In: Aspinall GO (ed) Academic P. London, pp 196</w:t>
      </w:r>
      <w:r>
        <w:rPr>
          <w:rFonts w:hAnsi="Verdana"/>
          <w:color w:val="000000"/>
          <w:sz w:val="22"/>
        </w:rPr>
        <w:t>–</w:t>
      </w:r>
      <w:r>
        <w:rPr>
          <w:rFonts w:hAnsi="Verdana"/>
          <w:color w:val="000000"/>
          <w:sz w:val="22"/>
        </w:rPr>
        <w:t>285.</w:t>
      </w:r>
    </w:p>
    <w:p w14:paraId="186F470D" w14:textId="77777777" w:rsidR="00000000" w:rsidRDefault="00AA47AD">
      <w:pPr>
        <w:pStyle w:val="Predeterminado"/>
        <w:spacing w:before="280" w:after="280" w:line="360" w:lineRule="auto"/>
        <w:ind w:left="567" w:hanging="567"/>
      </w:pPr>
      <w:r>
        <w:rPr>
          <w:color w:val="000000"/>
          <w:sz w:val="22"/>
        </w:rPr>
        <w:t xml:space="preserve">Lowry, O. H., Rosenbrough, N. J., &amp; Farr, A. L. (1951). Protein measurements with the Folin phenol reagent. Journal of Biological Chemistry, 193, 265–275. </w:t>
      </w:r>
    </w:p>
    <w:p w14:paraId="00058103" w14:textId="77777777" w:rsidR="00000000" w:rsidRDefault="00AA47AD">
      <w:pPr>
        <w:pStyle w:val="Predeterminado"/>
        <w:spacing w:before="100" w:after="100" w:line="360" w:lineRule="auto"/>
        <w:ind w:left="567" w:hanging="480"/>
        <w:jc w:val="both"/>
      </w:pPr>
      <w:r>
        <w:rPr>
          <w:color w:val="000000"/>
          <w:sz w:val="22"/>
        </w:rPr>
        <w:t>Ren, L</w:t>
      </w:r>
      <w:r>
        <w:rPr>
          <w:color w:val="000000"/>
          <w:sz w:val="22"/>
        </w:rPr>
        <w:t xml:space="preserve">., Perera, C., &amp; Hemar, Y. (2012).  </w:t>
      </w:r>
      <w:r>
        <w:rPr>
          <w:i/>
          <w:color w:val="000000"/>
          <w:sz w:val="22"/>
        </w:rPr>
        <w:t>Antitumor activity of mushroom polysaccharides: a review. Food &amp; Function, 3(11), 1118.</w:t>
      </w:r>
      <w:r>
        <w:rPr>
          <w:color w:val="000000"/>
          <w:sz w:val="22"/>
        </w:rPr>
        <w:t xml:space="preserve">doi:10.1039/c2fo10279j   </w:t>
      </w:r>
    </w:p>
    <w:p w14:paraId="6E3307E9" w14:textId="77777777" w:rsidR="00000000" w:rsidRDefault="00AA47AD">
      <w:pPr>
        <w:pStyle w:val="Predeterminado"/>
        <w:spacing w:before="100" w:after="100" w:line="360" w:lineRule="auto"/>
        <w:ind w:left="567" w:hanging="480"/>
        <w:jc w:val="both"/>
      </w:pPr>
      <w:r>
        <w:rPr>
          <w:color w:val="000000"/>
          <w:sz w:val="22"/>
        </w:rPr>
        <w:t xml:space="preserve">Salgueiro MJ, Collia N, Barreiro ML, Medina V, Nicolini J, Cremaschi G, Zubillaga M. Radioactive treatment </w:t>
      </w:r>
      <w:r>
        <w:rPr>
          <w:color w:val="000000"/>
          <w:sz w:val="22"/>
        </w:rPr>
        <w:t xml:space="preserve">of a murine melanoma using a (32)P-patch. Nucl Med Commun. 2009 30(9):706-712). </w:t>
      </w:r>
    </w:p>
    <w:p w14:paraId="36C35BD9" w14:textId="77777777" w:rsidR="00000000" w:rsidRDefault="00AA47AD">
      <w:pPr>
        <w:pStyle w:val="Predeterminado"/>
        <w:spacing w:before="100" w:after="100" w:line="360" w:lineRule="auto"/>
        <w:ind w:left="567" w:hanging="480"/>
        <w:jc w:val="both"/>
      </w:pPr>
      <w:r>
        <w:rPr>
          <w:color w:val="000000"/>
          <w:sz w:val="22"/>
        </w:rPr>
        <w:t>Shao, P., Chen, X. X., &amp; Sun, P. L. (2014). Chemical characterization, antioxidant and antitumor activity of sulfated polysaccharide from Sargassum horneri. Carbohydrate Polym</w:t>
      </w:r>
      <w:r>
        <w:rPr>
          <w:color w:val="000000"/>
          <w:sz w:val="22"/>
        </w:rPr>
        <w:t xml:space="preserve">ers, 105, 260–269. </w:t>
      </w:r>
    </w:p>
    <w:p w14:paraId="7FA77250" w14:textId="77777777" w:rsidR="00000000" w:rsidRDefault="00AA47AD">
      <w:pPr>
        <w:pStyle w:val="Predeterminado"/>
        <w:spacing w:before="100" w:after="100" w:line="360" w:lineRule="auto"/>
        <w:ind w:left="567" w:hanging="480"/>
        <w:jc w:val="both"/>
      </w:pPr>
      <w:r>
        <w:rPr>
          <w:color w:val="000000"/>
          <w:sz w:val="22"/>
        </w:rPr>
        <w:t>Sterle, H.A.</w:t>
      </w:r>
      <w:r>
        <w:rPr>
          <w:color w:val="222222"/>
          <w:spacing w:val="3"/>
          <w:sz w:val="22"/>
          <w:shd w:val="clear" w:color="auto" w:fill="FFFFFF"/>
        </w:rPr>
        <w:t>,</w:t>
      </w:r>
      <w:r>
        <w:rPr>
          <w:rStyle w:val="apple-converted-space"/>
          <w:color w:val="222222"/>
          <w:spacing w:val="3"/>
          <w:sz w:val="22"/>
          <w:shd w:val="clear" w:color="auto" w:fill="FFFFFF"/>
        </w:rPr>
        <w:t xml:space="preserve">  </w:t>
      </w:r>
      <w:r>
        <w:rPr>
          <w:color w:val="222222"/>
          <w:spacing w:val="3"/>
          <w:sz w:val="22"/>
        </w:rPr>
        <w:t>Valli E</w:t>
      </w:r>
      <w:r>
        <w:rPr>
          <w:color w:val="222222"/>
          <w:spacing w:val="3"/>
          <w:sz w:val="22"/>
          <w:shd w:val="clear" w:color="auto" w:fill="FFFFFF"/>
        </w:rPr>
        <w:t>,</w:t>
      </w:r>
      <w:r>
        <w:rPr>
          <w:rStyle w:val="apple-converted-space"/>
          <w:color w:val="222222"/>
          <w:spacing w:val="3"/>
          <w:sz w:val="22"/>
          <w:shd w:val="clear" w:color="auto" w:fill="FFFFFF"/>
        </w:rPr>
        <w:t xml:space="preserve">  </w:t>
      </w:r>
      <w:r>
        <w:rPr>
          <w:color w:val="222222"/>
          <w:spacing w:val="3"/>
          <w:sz w:val="22"/>
        </w:rPr>
        <w:t>Cayrol F</w:t>
      </w:r>
      <w:r>
        <w:rPr>
          <w:color w:val="222222"/>
          <w:spacing w:val="3"/>
          <w:sz w:val="22"/>
          <w:shd w:val="clear" w:color="auto" w:fill="FFFFFF"/>
        </w:rPr>
        <w:t>,</w:t>
      </w:r>
      <w:r>
        <w:rPr>
          <w:rStyle w:val="apple-converted-space"/>
          <w:color w:val="222222"/>
          <w:spacing w:val="3"/>
          <w:sz w:val="22"/>
          <w:shd w:val="clear" w:color="auto" w:fill="FFFFFF"/>
        </w:rPr>
        <w:t xml:space="preserve">  </w:t>
      </w:r>
      <w:r>
        <w:rPr>
          <w:color w:val="222222"/>
          <w:spacing w:val="3"/>
          <w:sz w:val="22"/>
        </w:rPr>
        <w:t>Paulazo MA</w:t>
      </w:r>
      <w:r>
        <w:rPr>
          <w:color w:val="222222"/>
          <w:spacing w:val="3"/>
          <w:sz w:val="22"/>
          <w:shd w:val="clear" w:color="auto" w:fill="FFFFFF"/>
        </w:rPr>
        <w:t>,</w:t>
      </w:r>
      <w:r>
        <w:rPr>
          <w:rStyle w:val="apple-converted-space"/>
          <w:color w:val="222222"/>
          <w:spacing w:val="3"/>
          <w:sz w:val="22"/>
          <w:shd w:val="clear" w:color="auto" w:fill="FFFFFF"/>
        </w:rPr>
        <w:t xml:space="preserve">  </w:t>
      </w:r>
      <w:r>
        <w:rPr>
          <w:color w:val="222222"/>
          <w:spacing w:val="3"/>
          <w:sz w:val="22"/>
        </w:rPr>
        <w:t>Martinel Lamas DJ</w:t>
      </w:r>
      <w:r>
        <w:rPr>
          <w:color w:val="222222"/>
          <w:spacing w:val="3"/>
          <w:sz w:val="22"/>
          <w:shd w:val="clear" w:color="auto" w:fill="FFFFFF"/>
        </w:rPr>
        <w:t>,</w:t>
      </w:r>
      <w:r>
        <w:rPr>
          <w:rStyle w:val="apple-converted-space"/>
          <w:color w:val="222222"/>
          <w:spacing w:val="3"/>
          <w:sz w:val="22"/>
          <w:shd w:val="clear" w:color="auto" w:fill="FFFFFF"/>
        </w:rPr>
        <w:t xml:space="preserve">  </w:t>
      </w:r>
      <w:r>
        <w:rPr>
          <w:color w:val="222222"/>
          <w:spacing w:val="3"/>
          <w:sz w:val="22"/>
        </w:rPr>
        <w:t>Diaz Flaque MC</w:t>
      </w:r>
      <w:r>
        <w:rPr>
          <w:rStyle w:val="apple-converted-space"/>
          <w:color w:val="222222"/>
          <w:spacing w:val="3"/>
          <w:sz w:val="22"/>
          <w:shd w:val="clear" w:color="auto" w:fill="FFFFFF"/>
        </w:rPr>
        <w:t xml:space="preserve">  </w:t>
      </w:r>
      <w:r>
        <w:rPr>
          <w:i/>
          <w:color w:val="222222"/>
          <w:spacing w:val="3"/>
          <w:sz w:val="22"/>
        </w:rPr>
        <w:t>et al</w:t>
      </w:r>
      <w:r>
        <w:rPr>
          <w:color w:val="222222"/>
          <w:spacing w:val="3"/>
          <w:sz w:val="22"/>
          <w:shd w:val="clear" w:color="auto" w:fill="FFFFFF"/>
        </w:rPr>
        <w:t>.</w:t>
      </w:r>
      <w:r>
        <w:rPr>
          <w:color w:val="000000"/>
          <w:sz w:val="22"/>
        </w:rPr>
        <w:t xml:space="preserve">, Thyroid status modulates </w:t>
      </w:r>
      <w:r>
        <w:rPr>
          <w:color w:val="000000"/>
          <w:sz w:val="22"/>
        </w:rPr>
        <w:t xml:space="preserve">T lymphoma growth via cell cycle regulatory proteins and angiogenesis. J Endocrinol, 2014. 222(2): p. 243-55; </w:t>
      </w:r>
    </w:p>
    <w:p w14:paraId="55D96923" w14:textId="77777777" w:rsidR="00000000" w:rsidRDefault="00AA47AD">
      <w:pPr>
        <w:pStyle w:val="Predeterminado"/>
        <w:spacing w:line="360" w:lineRule="auto"/>
        <w:ind w:left="567" w:hanging="567"/>
      </w:pPr>
      <w:r>
        <w:rPr>
          <w:color w:val="333333"/>
          <w:spacing w:val="2"/>
          <w:sz w:val="22"/>
          <w:shd w:val="clear" w:color="auto" w:fill="FCFCFC"/>
        </w:rPr>
        <w:lastRenderedPageBreak/>
        <w:t>Schepetkin IA, Quinn MT (2006) Botanical polysaccharides: macrophage immunomodulation and therapeutic potential. Int Immunopharmacol 6:317–333</w:t>
      </w:r>
    </w:p>
    <w:p w14:paraId="10A34A25" w14:textId="77777777" w:rsidR="00000000" w:rsidRDefault="00AA47AD">
      <w:pPr>
        <w:pStyle w:val="Predeterminado"/>
        <w:spacing w:before="100" w:after="100" w:line="360" w:lineRule="auto"/>
        <w:ind w:left="567" w:hanging="480"/>
        <w:jc w:val="both"/>
      </w:pPr>
      <w:r>
        <w:rPr>
          <w:color w:val="000000"/>
          <w:sz w:val="22"/>
        </w:rPr>
        <w:t>St</w:t>
      </w:r>
      <w:r>
        <w:rPr>
          <w:color w:val="000000"/>
          <w:sz w:val="22"/>
        </w:rPr>
        <w:t xml:space="preserve">erle, H.A., et al., The thyroid status reprograms T cell lymphoma growth and modulates immune cell frequencies. J Mol Med (Berl), 2016. 94(4): p. 417-29). </w:t>
      </w:r>
    </w:p>
    <w:p w14:paraId="63602C87" w14:textId="77777777" w:rsidR="00000000" w:rsidRDefault="00AA47AD">
      <w:pPr>
        <w:pStyle w:val="Predeterminado"/>
        <w:spacing w:before="100" w:after="100" w:line="360" w:lineRule="auto"/>
        <w:ind w:left="567" w:hanging="480"/>
        <w:jc w:val="both"/>
      </w:pPr>
      <w:r>
        <w:rPr>
          <w:rFonts w:hAnsi="Verdana"/>
          <w:color w:val="000000"/>
          <w:sz w:val="22"/>
        </w:rPr>
        <w:t>Striker G.G., Manzur M.E., Grimoldi A. a. (2011) Increasing defoliation frequency constrains regrowt</w:t>
      </w:r>
      <w:r>
        <w:rPr>
          <w:rFonts w:hAnsi="Verdana"/>
          <w:color w:val="000000"/>
          <w:sz w:val="22"/>
        </w:rPr>
        <w:t>h of the forage legume Lotus tenuis under flooding. The role of crown reserves. Plant and Soil 343:261</w:t>
      </w:r>
      <w:r>
        <w:rPr>
          <w:rFonts w:hAnsi="Verdana"/>
          <w:color w:val="000000"/>
          <w:sz w:val="22"/>
        </w:rPr>
        <w:t>–</w:t>
      </w:r>
      <w:r>
        <w:rPr>
          <w:rFonts w:hAnsi="Verdana"/>
          <w:color w:val="000000"/>
          <w:sz w:val="22"/>
        </w:rPr>
        <w:t>272. [online] URL: http://www.springerlink.com/index/10.1007/s11104-011-0716-z (accessed 14 February 2013).</w:t>
      </w:r>
    </w:p>
    <w:p w14:paraId="7B9934FE" w14:textId="77777777" w:rsidR="00000000" w:rsidRDefault="00AA47AD">
      <w:pPr>
        <w:pStyle w:val="Predeterminado"/>
        <w:spacing w:before="100" w:after="100" w:line="360" w:lineRule="auto"/>
        <w:ind w:left="567" w:hanging="480"/>
        <w:jc w:val="both"/>
      </w:pPr>
      <w:r>
        <w:rPr>
          <w:rFonts w:hAnsi="Verdana"/>
          <w:color w:val="000000"/>
          <w:sz w:val="22"/>
        </w:rPr>
        <w:t xml:space="preserve">Van Soest P.J. (1994) Nutritional ecology of </w:t>
      </w:r>
      <w:r>
        <w:rPr>
          <w:rFonts w:hAnsi="Verdana"/>
          <w:color w:val="000000"/>
          <w:sz w:val="22"/>
        </w:rPr>
        <w:t>the ruminant (C.P. Associates, Ed.), 2nd edn. Cornell University Press, Ithaca, NY.</w:t>
      </w:r>
    </w:p>
    <w:p w14:paraId="3F930170" w14:textId="77777777" w:rsidR="00000000" w:rsidRDefault="00AA47AD">
      <w:pPr>
        <w:pStyle w:val="Predeterminado"/>
        <w:spacing w:before="100" w:after="100" w:line="360" w:lineRule="auto"/>
        <w:ind w:left="567" w:hanging="480"/>
        <w:jc w:val="both"/>
      </w:pPr>
      <w:r>
        <w:rPr>
          <w:color w:val="000000"/>
          <w:sz w:val="22"/>
        </w:rPr>
        <w:t xml:space="preserve">Vázquez PF, Carlini MJ, Daroqui MC, Colombo L, Dalurzo ML, Smith DE, Grasselli J, Pallotta MG, Ehrlich M, Bal de Kier Joffé ED, Puricelli L. TGF-beta specifically enhances </w:t>
      </w:r>
      <w:r>
        <w:rPr>
          <w:color w:val="000000"/>
          <w:sz w:val="22"/>
        </w:rPr>
        <w:t>the metastatic attributes of murine lung adenocarcinoma: implications for human non-small cell lung cancer. Clin Exp Metastasis. 2013; 30(8):993-1007)</w:t>
      </w:r>
    </w:p>
    <w:p w14:paraId="05AB079F" w14:textId="77777777" w:rsidR="00000000" w:rsidRDefault="00AA47AD">
      <w:pPr>
        <w:pStyle w:val="Predeterminado"/>
        <w:spacing w:before="280" w:after="280" w:line="360" w:lineRule="auto"/>
        <w:ind w:left="567" w:hanging="567"/>
      </w:pPr>
      <w:r>
        <w:rPr>
          <w:color w:val="000000"/>
          <w:sz w:val="22"/>
        </w:rPr>
        <w:t>Stevenson, T. T., &amp; Furneaux, R. H. (1991). Chemical methods for the analysis of sulphated galactans from</w:t>
      </w:r>
      <w:r>
        <w:rPr>
          <w:color w:val="000000"/>
          <w:sz w:val="22"/>
        </w:rPr>
        <w:t xml:space="preserve"> red algae. Carbohydrate Research, 210, 277–298. </w:t>
      </w:r>
    </w:p>
    <w:p w14:paraId="0D5021C0" w14:textId="77777777" w:rsidR="00000000" w:rsidRDefault="00AA47AD">
      <w:pPr>
        <w:pStyle w:val="Predeterminado"/>
        <w:spacing w:before="100" w:after="100" w:line="360" w:lineRule="auto"/>
        <w:ind w:left="567" w:hanging="480"/>
        <w:jc w:val="both"/>
      </w:pPr>
      <w:r>
        <w:rPr>
          <w:color w:val="000000"/>
          <w:sz w:val="22"/>
        </w:rPr>
        <w:t>Tkach M, Coria L, Rosemblit C, Rivas MA, Proietti CJ, Díaz Flaqué MC, Beguelin W, Frahm I, Charreau EH, Cassataro J, Elizalde PV, Schillaci R (2012) Targeting Stat3 induces senescence in tumor cells and eli</w:t>
      </w:r>
      <w:r>
        <w:rPr>
          <w:color w:val="000000"/>
          <w:sz w:val="22"/>
        </w:rPr>
        <w:t xml:space="preserve">cits prophylactic and therapeutic immune responses against breast cancer growth mediated by NK cells and CD4+ T cells. .J Immunol.189: 1162-1172.  </w:t>
      </w:r>
    </w:p>
    <w:p w14:paraId="562B850F" w14:textId="77777777" w:rsidR="00000000" w:rsidRDefault="00AA47AD">
      <w:pPr>
        <w:pStyle w:val="Predeterminado"/>
        <w:spacing w:before="100" w:after="100" w:line="360" w:lineRule="auto"/>
        <w:ind w:left="567" w:hanging="480"/>
        <w:jc w:val="both"/>
      </w:pPr>
      <w:r>
        <w:rPr>
          <w:sz w:val="22"/>
        </w:rPr>
        <w:t>Wang, K. P., Wang, J., Li, Q., Zhang, Q. L., You, R. X., Cheng, Y., et al. (2014). Structural differences an</w:t>
      </w:r>
      <w:r>
        <w:rPr>
          <w:sz w:val="22"/>
        </w:rPr>
        <w:t xml:space="preserve">d conformational characterization of five bioactive polysaccharides from </w:t>
      </w:r>
      <w:r>
        <w:rPr>
          <w:i/>
          <w:sz w:val="22"/>
        </w:rPr>
        <w:t>Lentinus edodes. Food Research International, 62</w:t>
      </w:r>
      <w:r>
        <w:rPr>
          <w:sz w:val="22"/>
        </w:rPr>
        <w:t>(8), 223-232.</w:t>
      </w:r>
    </w:p>
    <w:p w14:paraId="5E9C8722" w14:textId="77777777" w:rsidR="00000000" w:rsidRDefault="00AA47AD">
      <w:pPr>
        <w:pStyle w:val="Predeterminado"/>
        <w:spacing w:before="100" w:after="100" w:line="360" w:lineRule="auto"/>
        <w:ind w:left="567" w:hanging="480"/>
        <w:jc w:val="both"/>
      </w:pPr>
      <w:r>
        <w:rPr>
          <w:color w:val="000000"/>
          <w:sz w:val="22"/>
          <w:shd w:val="clear" w:color="auto" w:fill="FFFFFF"/>
        </w:rPr>
        <w:t>Wu, Q., Qu, H., Jia, J., Kuang, C., Wen, Y., Yan, H., &amp; Gui, Z. (2015).</w:t>
      </w:r>
      <w:r>
        <w:rPr>
          <w:rStyle w:val="apple-converted-space"/>
          <w:color w:val="000000"/>
          <w:sz w:val="22"/>
          <w:shd w:val="clear" w:color="auto" w:fill="FFFFFF"/>
        </w:rPr>
        <w:t xml:space="preserve">  </w:t>
      </w:r>
      <w:r>
        <w:rPr>
          <w:i/>
          <w:color w:val="000000"/>
          <w:sz w:val="22"/>
        </w:rPr>
        <w:t>Characterization, antioxidant and antitumor acti</w:t>
      </w:r>
      <w:r>
        <w:rPr>
          <w:i/>
          <w:color w:val="000000"/>
          <w:sz w:val="22"/>
        </w:rPr>
        <w:t>vities of polysaccharides from purple sweet potato. Carbohydrate Polymers, 132, 31–40.</w:t>
      </w:r>
      <w:r>
        <w:rPr>
          <w:color w:val="000000"/>
          <w:sz w:val="22"/>
          <w:shd w:val="clear" w:color="auto" w:fill="FFFFFF"/>
        </w:rPr>
        <w:t xml:space="preserve">doi:10.1016/j.carbpol.2015.06.045  </w:t>
      </w:r>
    </w:p>
    <w:p w14:paraId="35F918C4" w14:textId="77777777" w:rsidR="00000000" w:rsidRDefault="00AA47AD">
      <w:pPr>
        <w:pStyle w:val="Predeterminado"/>
        <w:spacing w:before="100" w:after="100" w:line="360" w:lineRule="auto"/>
        <w:ind w:left="567" w:hanging="480"/>
        <w:jc w:val="both"/>
      </w:pPr>
      <w:r>
        <w:rPr>
          <w:color w:val="000000"/>
          <w:sz w:val="22"/>
        </w:rPr>
        <w:t>Yu Y., Shen M., Song Q., Xie J. 2018 Biological activities and pharmaceutical applications of polysaccharide from natural resources: A</w:t>
      </w:r>
      <w:r>
        <w:rPr>
          <w:color w:val="000000"/>
          <w:sz w:val="22"/>
        </w:rPr>
        <w:t xml:space="preserve"> review Carbohydrate Polymers 183 (2018) 91–101</w:t>
      </w:r>
    </w:p>
    <w:p w14:paraId="3037E2E2" w14:textId="77777777" w:rsidR="00000000" w:rsidRDefault="00AA47AD">
      <w:pPr>
        <w:pStyle w:val="Predeterminado"/>
        <w:spacing w:before="100" w:after="100" w:line="360" w:lineRule="auto"/>
        <w:ind w:left="567" w:hanging="480"/>
        <w:jc w:val="both"/>
      </w:pPr>
      <w:r>
        <w:rPr>
          <w:sz w:val="22"/>
        </w:rPr>
        <w:lastRenderedPageBreak/>
        <w:t xml:space="preserve">Zhang, L., Liu, X., Wang, Y., Liu, G., Zhang, Z., Zhao, Z., et al. (2017). In vitro antioxidative and immunological activities of polysaccharides from </w:t>
      </w:r>
      <w:r>
        <w:rPr>
          <w:i/>
          <w:sz w:val="22"/>
        </w:rPr>
        <w:t>Zizyphus Jujuba cv. Muzao</w:t>
      </w:r>
      <w:r>
        <w:rPr>
          <w:sz w:val="22"/>
        </w:rPr>
        <w:t xml:space="preserve">. </w:t>
      </w:r>
      <w:r>
        <w:rPr>
          <w:i/>
          <w:sz w:val="22"/>
        </w:rPr>
        <w:t>Int</w:t>
      </w:r>
      <w:r>
        <w:rPr>
          <w:i/>
          <w:sz w:val="22"/>
        </w:rPr>
        <w:t>ernational of Journal of Biological Macromolecules, 95</w:t>
      </w:r>
      <w:r>
        <w:rPr>
          <w:sz w:val="22"/>
        </w:rPr>
        <w:t xml:space="preserve">, 1119-1125. </w:t>
      </w:r>
    </w:p>
    <w:p w14:paraId="6B07BD1C" w14:textId="77777777" w:rsidR="00000000" w:rsidRDefault="00AA47AD">
      <w:pPr>
        <w:pStyle w:val="Predeterminado"/>
        <w:spacing w:before="100" w:after="100" w:line="360" w:lineRule="auto"/>
        <w:ind w:left="567" w:hanging="480"/>
        <w:jc w:val="both"/>
      </w:pPr>
      <w:r>
        <w:rPr>
          <w:color w:val="000000"/>
          <w:sz w:val="22"/>
        </w:rPr>
        <w:t>Zhao,</w:t>
      </w:r>
      <w:r>
        <w:rPr>
          <w:rStyle w:val="apple-converted-space"/>
          <w:color w:val="000000"/>
          <w:sz w:val="22"/>
        </w:rPr>
        <w:t xml:space="preserve">  F., </w:t>
      </w:r>
      <w:r>
        <w:rPr>
          <w:color w:val="000000"/>
          <w:sz w:val="22"/>
        </w:rPr>
        <w:t>Shi, B.,</w:t>
      </w:r>
      <w:r>
        <w:rPr>
          <w:rStyle w:val="apple-converted-space"/>
          <w:color w:val="000000"/>
          <w:sz w:val="22"/>
        </w:rPr>
        <w:t xml:space="preserve">  </w:t>
      </w:r>
      <w:r>
        <w:rPr>
          <w:color w:val="000000"/>
          <w:sz w:val="22"/>
        </w:rPr>
        <w:t>Sun, D.,</w:t>
      </w:r>
      <w:r>
        <w:rPr>
          <w:rStyle w:val="apple-converted-space"/>
          <w:color w:val="000000"/>
          <w:sz w:val="22"/>
        </w:rPr>
        <w:t xml:space="preserve"> </w:t>
      </w:r>
      <w:r>
        <w:rPr>
          <w:color w:val="000000"/>
          <w:sz w:val="22"/>
        </w:rPr>
        <w:t>Chen,</w:t>
      </w:r>
      <w:r>
        <w:rPr>
          <w:rStyle w:val="apple-converted-space"/>
          <w:color w:val="000000"/>
          <w:sz w:val="22"/>
        </w:rPr>
        <w:t xml:space="preserve">  H., </w:t>
      </w:r>
      <w:r>
        <w:rPr>
          <w:color w:val="000000"/>
          <w:sz w:val="22"/>
        </w:rPr>
        <w:t>Tong, M.,</w:t>
      </w:r>
      <w:r>
        <w:rPr>
          <w:rStyle w:val="apple-converted-space"/>
          <w:color w:val="000000"/>
          <w:sz w:val="22"/>
        </w:rPr>
        <w:t xml:space="preserve">  </w:t>
      </w:r>
      <w:r>
        <w:rPr>
          <w:color w:val="000000"/>
          <w:sz w:val="22"/>
        </w:rPr>
        <w:t>Zhang,</w:t>
      </w:r>
      <w:r>
        <w:rPr>
          <w:rStyle w:val="apple-converted-space"/>
          <w:color w:val="000000"/>
          <w:sz w:val="22"/>
        </w:rPr>
        <w:t>  P.,</w:t>
      </w:r>
      <w:r>
        <w:rPr>
          <w:color w:val="000000"/>
          <w:sz w:val="22"/>
        </w:rPr>
        <w:t xml:space="preserve"> Guo,</w:t>
      </w:r>
      <w:r>
        <w:rPr>
          <w:rStyle w:val="apple-converted-space"/>
          <w:color w:val="000000"/>
          <w:sz w:val="22"/>
        </w:rPr>
        <w:t xml:space="preserve">  X.,  </w:t>
      </w:r>
      <w:r>
        <w:rPr>
          <w:color w:val="000000"/>
          <w:sz w:val="22"/>
        </w:rPr>
        <w:t xml:space="preserve">Yan, S. </w:t>
      </w:r>
      <w:r>
        <w:rPr>
          <w:b/>
          <w:color w:val="000000"/>
          <w:sz w:val="22"/>
        </w:rPr>
        <w:t>Effects of dietary supplementation of</w:t>
      </w:r>
      <w:r>
        <w:rPr>
          <w:rStyle w:val="apple-converted-space"/>
          <w:b/>
          <w:color w:val="000000"/>
          <w:sz w:val="22"/>
        </w:rPr>
        <w:t xml:space="preserve">  </w:t>
      </w:r>
      <w:r>
        <w:rPr>
          <w:rStyle w:val="Destacado"/>
          <w:b/>
          <w:iCs w:val="0"/>
          <w:color w:val="000000"/>
          <w:sz w:val="22"/>
        </w:rPr>
        <w:t>Artemisia argyi</w:t>
      </w:r>
      <w:r>
        <w:rPr>
          <w:rStyle w:val="apple-converted-space"/>
          <w:b/>
          <w:color w:val="000000"/>
          <w:sz w:val="22"/>
        </w:rPr>
        <w:t xml:space="preserve">  </w:t>
      </w:r>
      <w:r>
        <w:rPr>
          <w:b/>
          <w:color w:val="000000"/>
          <w:sz w:val="22"/>
        </w:rPr>
        <w:t>aqueous extract on antioxidant indexes of small i</w:t>
      </w:r>
      <w:r>
        <w:rPr>
          <w:b/>
          <w:color w:val="000000"/>
          <w:sz w:val="22"/>
        </w:rPr>
        <w:t>ntestine in broilers</w:t>
      </w:r>
      <w:r>
        <w:rPr>
          <w:color w:val="000000"/>
          <w:sz w:val="22"/>
        </w:rPr>
        <w:t xml:space="preserve"> Animal Nutrition, Volume 2, Issue 3, 2016, pp. 198-203</w:t>
      </w:r>
    </w:p>
    <w:p w14:paraId="22EEC02D" w14:textId="77777777" w:rsidR="00000000" w:rsidRDefault="00AA47AD">
      <w:pPr>
        <w:pStyle w:val="Predeterminado"/>
        <w:jc w:val="both"/>
      </w:pPr>
    </w:p>
    <w:tbl>
      <w:tblPr>
        <w:tblW w:w="0" w:type="auto"/>
        <w:tblInd w:w="70" w:type="dxa"/>
        <w:tblLayout w:type="fixed"/>
        <w:tblCellMar>
          <w:left w:w="70" w:type="dxa"/>
          <w:right w:w="70" w:type="dxa"/>
        </w:tblCellMar>
        <w:tblLook w:val="0000" w:firstRow="0" w:lastRow="0" w:firstColumn="0" w:lastColumn="0" w:noHBand="0" w:noVBand="0"/>
      </w:tblPr>
      <w:tblGrid>
        <w:gridCol w:w="9644"/>
      </w:tblGrid>
      <w:tr w:rsidR="00000000" w:rsidRPr="00AA47AD" w14:paraId="4A1C84F0" w14:textId="77777777">
        <w:trPr>
          <w:trHeight w:val="95"/>
        </w:trPr>
        <w:tc>
          <w:tcPr>
            <w:tcW w:w="9644" w:type="dxa"/>
            <w:tcBorders>
              <w:top w:val="single" w:sz="2" w:space="0" w:color="000000"/>
              <w:left w:val="single" w:sz="2" w:space="0" w:color="000000"/>
              <w:bottom w:val="single" w:sz="2" w:space="0" w:color="000000"/>
              <w:right w:val="single" w:sz="2" w:space="0" w:color="000000"/>
            </w:tcBorders>
            <w:shd w:val="clear" w:color="auto" w:fill="003366"/>
          </w:tcPr>
          <w:p w14:paraId="3C4F527E" w14:textId="77777777" w:rsidR="00000000" w:rsidRDefault="00AA47AD">
            <w:pPr>
              <w:pStyle w:val="Predeterminado"/>
              <w:jc w:val="both"/>
            </w:pPr>
            <w:r>
              <w:rPr>
                <w:b/>
                <w:sz w:val="28"/>
                <w:lang w:val="es-AR"/>
              </w:rPr>
              <w:t>4.  DESARROLLO DEL PROYECTO</w:t>
            </w:r>
          </w:p>
        </w:tc>
      </w:tr>
    </w:tbl>
    <w:p w14:paraId="4324CADF" w14:textId="77777777" w:rsidR="00000000" w:rsidRDefault="00AA47AD">
      <w:pPr>
        <w:pStyle w:val="Predeterminado"/>
        <w:jc w:val="both"/>
      </w:pPr>
    </w:p>
    <w:p w14:paraId="7587A520" w14:textId="77777777" w:rsidR="00000000" w:rsidRDefault="00AA47AD">
      <w:pPr>
        <w:pStyle w:val="Predeterminado"/>
        <w:jc w:val="both"/>
      </w:pPr>
      <w:r>
        <w:rPr>
          <w:b/>
          <w:lang w:val="es-AR"/>
        </w:rPr>
        <w:t xml:space="preserve">4.1 Cronograma de Actividades  </w:t>
      </w:r>
    </w:p>
    <w:p w14:paraId="6FD6ADD7" w14:textId="77777777" w:rsidR="00000000" w:rsidRDefault="00AA47AD">
      <w:pPr>
        <w:pStyle w:val="Predeterminado"/>
        <w:jc w:val="both"/>
      </w:pPr>
      <w:r>
        <w:rPr>
          <w:b/>
          <w:lang w:val="es-AR"/>
        </w:rPr>
        <w:tab/>
      </w:r>
      <w:r>
        <w:rPr>
          <w:b/>
          <w:lang w:val="es-AR"/>
        </w:rPr>
        <w:tab/>
      </w:r>
      <w:r>
        <w:rPr>
          <w:b/>
          <w:lang w:val="es-AR"/>
        </w:rPr>
        <w:tab/>
      </w:r>
      <w:r>
        <w:rPr>
          <w:b/>
          <w:lang w:val="es-AR"/>
        </w:rPr>
        <w:tab/>
      </w:r>
      <w:r>
        <w:rPr>
          <w:b/>
          <w:lang w:val="es-AR"/>
        </w:rPr>
        <w:tab/>
      </w:r>
      <w:r>
        <w:rPr>
          <w:b/>
          <w:lang w:val="es-AR"/>
        </w:rPr>
        <w:tab/>
      </w:r>
      <w:r>
        <w:rPr>
          <w:b/>
          <w:lang w:val="es-AR"/>
        </w:rPr>
        <w:tab/>
      </w:r>
      <w:r>
        <w:rPr>
          <w:b/>
          <w:lang w:val="es-AR"/>
        </w:rPr>
        <w:tab/>
      </w:r>
    </w:p>
    <w:tbl>
      <w:tblPr>
        <w:tblW w:w="0" w:type="auto"/>
        <w:jc w:val="center"/>
        <w:tblLayout w:type="fixed"/>
        <w:tblLook w:val="0000" w:firstRow="0" w:lastRow="0" w:firstColumn="0" w:lastColumn="0" w:noHBand="0" w:noVBand="0"/>
      </w:tblPr>
      <w:tblGrid>
        <w:gridCol w:w="4073"/>
        <w:gridCol w:w="1135"/>
        <w:gridCol w:w="1135"/>
        <w:gridCol w:w="1195"/>
      </w:tblGrid>
      <w:tr w:rsidR="00000000" w:rsidRPr="00AA47AD" w14:paraId="364B2CF3" w14:textId="77777777">
        <w:trPr>
          <w:jc w:val="center"/>
        </w:trPr>
        <w:tc>
          <w:tcPr>
            <w:tcW w:w="4073" w:type="dxa"/>
            <w:tcBorders>
              <w:top w:val="double" w:sz="6" w:space="0" w:color="C0C0C0"/>
              <w:left w:val="double" w:sz="6" w:space="0" w:color="C0C0C0"/>
              <w:bottom w:val="double" w:sz="6" w:space="0" w:color="C0C0C0"/>
              <w:right w:val="nil"/>
            </w:tcBorders>
          </w:tcPr>
          <w:p w14:paraId="19D7FCA1" w14:textId="77777777" w:rsidR="00000000" w:rsidRDefault="00AA47AD">
            <w:pPr>
              <w:pStyle w:val="Encabezado4"/>
              <w:numPr>
                <w:ilvl w:val="3"/>
                <w:numId w:val="1"/>
              </w:numPr>
              <w:ind w:left="-4854" w:firstLine="4854"/>
              <w:rPr>
                <w:rFonts w:cs="Times New Roman"/>
                <w:bCs w:val="0"/>
                <w:szCs w:val="24"/>
              </w:rPr>
            </w:pPr>
            <w:r>
              <w:rPr>
                <w:rFonts w:ascii="Times New Roman" w:cs="Times New Roman"/>
                <w:bCs w:val="0"/>
                <w:sz w:val="24"/>
                <w:szCs w:val="24"/>
              </w:rPr>
              <w:t>Actividad</w:t>
            </w:r>
          </w:p>
        </w:tc>
        <w:tc>
          <w:tcPr>
            <w:tcW w:w="3465" w:type="dxa"/>
            <w:gridSpan w:val="3"/>
            <w:tcBorders>
              <w:top w:val="double" w:sz="6" w:space="0" w:color="C0C0C0"/>
              <w:left w:val="double" w:sz="6" w:space="0" w:color="C0C0C0"/>
              <w:bottom w:val="double" w:sz="6" w:space="0" w:color="C0C0C0"/>
              <w:right w:val="double" w:sz="6" w:space="0" w:color="C0C0C0"/>
            </w:tcBorders>
          </w:tcPr>
          <w:p w14:paraId="0E037925" w14:textId="77777777" w:rsidR="00000000" w:rsidRDefault="00AA47AD">
            <w:pPr>
              <w:pStyle w:val="Encabezado4"/>
              <w:numPr>
                <w:ilvl w:val="3"/>
                <w:numId w:val="1"/>
              </w:numPr>
              <w:ind w:left="-4854" w:firstLine="4854"/>
              <w:rPr>
                <w:rFonts w:cs="Times New Roman"/>
                <w:bCs w:val="0"/>
                <w:szCs w:val="24"/>
              </w:rPr>
            </w:pPr>
            <w:r>
              <w:rPr>
                <w:rFonts w:ascii="Times New Roman" w:cs="Times New Roman"/>
                <w:bCs w:val="0"/>
                <w:sz w:val="24"/>
                <w:szCs w:val="24"/>
              </w:rPr>
              <w:t>Años</w:t>
            </w:r>
          </w:p>
        </w:tc>
      </w:tr>
      <w:tr w:rsidR="00000000" w:rsidRPr="00AA47AD" w14:paraId="02AF4B45" w14:textId="77777777">
        <w:trPr>
          <w:jc w:val="center"/>
        </w:trPr>
        <w:tc>
          <w:tcPr>
            <w:tcW w:w="4073" w:type="dxa"/>
            <w:tcBorders>
              <w:top w:val="double" w:sz="6" w:space="0" w:color="C0C0C0"/>
              <w:left w:val="double" w:sz="6" w:space="0" w:color="C0C0C0"/>
              <w:bottom w:val="double" w:sz="6" w:space="0" w:color="C0C0C0"/>
              <w:right w:val="nil"/>
            </w:tcBorders>
          </w:tcPr>
          <w:p w14:paraId="7D083C11" w14:textId="77777777" w:rsidR="00000000" w:rsidRDefault="00AA47AD">
            <w:pPr>
              <w:pStyle w:val="Predeterminado"/>
              <w:jc w:val="center"/>
            </w:pPr>
            <w:r>
              <w:rPr>
                <w:b/>
                <w:lang w:val="es-AR"/>
              </w:rPr>
              <w:t>Etapas de Desarrollo del Trabajo</w:t>
            </w:r>
          </w:p>
        </w:tc>
        <w:tc>
          <w:tcPr>
            <w:tcW w:w="1135" w:type="dxa"/>
            <w:tcBorders>
              <w:top w:val="double" w:sz="6" w:space="0" w:color="C0C0C0"/>
              <w:left w:val="double" w:sz="6" w:space="0" w:color="C0C0C0"/>
              <w:bottom w:val="double" w:sz="6" w:space="0" w:color="C0C0C0"/>
              <w:right w:val="nil"/>
            </w:tcBorders>
          </w:tcPr>
          <w:p w14:paraId="3FF5578E" w14:textId="77777777" w:rsidR="00000000" w:rsidRDefault="00AA47AD">
            <w:pPr>
              <w:pStyle w:val="Predeterminado"/>
              <w:jc w:val="center"/>
            </w:pPr>
            <w:bookmarkStart w:id="0" w:name="_GoBack"/>
            <w:bookmarkEnd w:id="0"/>
            <w:r>
              <w:rPr>
                <w:lang w:val="es-AR"/>
              </w:rPr>
              <w:t>1</w:t>
            </w:r>
          </w:p>
        </w:tc>
        <w:tc>
          <w:tcPr>
            <w:tcW w:w="1135" w:type="dxa"/>
            <w:tcBorders>
              <w:top w:val="double" w:sz="6" w:space="0" w:color="C0C0C0"/>
              <w:left w:val="double" w:sz="6" w:space="0" w:color="C0C0C0"/>
              <w:bottom w:val="double" w:sz="6" w:space="0" w:color="C0C0C0"/>
              <w:right w:val="nil"/>
            </w:tcBorders>
          </w:tcPr>
          <w:p w14:paraId="422CB455" w14:textId="77777777" w:rsidR="00000000" w:rsidRDefault="00AA47AD">
            <w:pPr>
              <w:pStyle w:val="Predeterminado"/>
              <w:jc w:val="center"/>
            </w:pPr>
            <w:r>
              <w:rPr>
                <w:lang w:val="es-AR"/>
              </w:rPr>
              <w:t>2</w:t>
            </w:r>
          </w:p>
        </w:tc>
        <w:tc>
          <w:tcPr>
            <w:tcW w:w="1195" w:type="dxa"/>
            <w:tcBorders>
              <w:top w:val="double" w:sz="6" w:space="0" w:color="C0C0C0"/>
              <w:left w:val="double" w:sz="6" w:space="0" w:color="C0C0C0"/>
              <w:bottom w:val="double" w:sz="6" w:space="0" w:color="C0C0C0"/>
              <w:right w:val="double" w:sz="6" w:space="0" w:color="C0C0C0"/>
            </w:tcBorders>
          </w:tcPr>
          <w:p w14:paraId="480F013D" w14:textId="77777777" w:rsidR="00000000" w:rsidRDefault="00AA47AD">
            <w:pPr>
              <w:pStyle w:val="Predeterminado"/>
              <w:jc w:val="center"/>
            </w:pPr>
          </w:p>
        </w:tc>
      </w:tr>
      <w:tr w:rsidR="00000000" w:rsidRPr="00AA47AD" w14:paraId="55154E16" w14:textId="77777777">
        <w:trPr>
          <w:jc w:val="center"/>
        </w:trPr>
        <w:tc>
          <w:tcPr>
            <w:tcW w:w="4073" w:type="dxa"/>
            <w:tcBorders>
              <w:top w:val="double" w:sz="6" w:space="0" w:color="C0C0C0"/>
              <w:left w:val="double" w:sz="6" w:space="0" w:color="C0C0C0"/>
              <w:bottom w:val="double" w:sz="6" w:space="0" w:color="C0C0C0"/>
              <w:right w:val="nil"/>
            </w:tcBorders>
          </w:tcPr>
          <w:p w14:paraId="19E73BD5" w14:textId="77777777" w:rsidR="00000000" w:rsidRDefault="00AA47AD">
            <w:pPr>
              <w:pStyle w:val="Predeterminado"/>
              <w:jc w:val="center"/>
            </w:pPr>
            <w:r>
              <w:rPr>
                <w:b/>
                <w:lang w:val="es-AR"/>
              </w:rPr>
              <w:t>Pruebas preliminares de inmunomodulación</w:t>
            </w:r>
          </w:p>
        </w:tc>
        <w:tc>
          <w:tcPr>
            <w:tcW w:w="1135" w:type="dxa"/>
            <w:tcBorders>
              <w:top w:val="double" w:sz="6" w:space="0" w:color="C0C0C0"/>
              <w:left w:val="double" w:sz="6" w:space="0" w:color="C0C0C0"/>
              <w:bottom w:val="double" w:sz="6" w:space="0" w:color="C0C0C0"/>
              <w:right w:val="nil"/>
            </w:tcBorders>
          </w:tcPr>
          <w:p w14:paraId="56EF22D6" w14:textId="77777777" w:rsidR="00000000" w:rsidRDefault="00AA47AD">
            <w:pPr>
              <w:pStyle w:val="Predeterminado"/>
              <w:jc w:val="center"/>
            </w:pPr>
            <w:r>
              <w:rPr>
                <w:lang w:val="es-AR"/>
              </w:rPr>
              <w:t>x</w:t>
            </w:r>
          </w:p>
        </w:tc>
        <w:tc>
          <w:tcPr>
            <w:tcW w:w="1135" w:type="dxa"/>
            <w:tcBorders>
              <w:top w:val="double" w:sz="6" w:space="0" w:color="C0C0C0"/>
              <w:left w:val="double" w:sz="6" w:space="0" w:color="C0C0C0"/>
              <w:bottom w:val="double" w:sz="6" w:space="0" w:color="C0C0C0"/>
              <w:right w:val="nil"/>
            </w:tcBorders>
          </w:tcPr>
          <w:p w14:paraId="2F184F06" w14:textId="77777777" w:rsidR="00000000" w:rsidRDefault="00AA47AD">
            <w:pPr>
              <w:pStyle w:val="Predeterminado"/>
              <w:jc w:val="center"/>
            </w:pPr>
          </w:p>
        </w:tc>
        <w:tc>
          <w:tcPr>
            <w:tcW w:w="1195" w:type="dxa"/>
            <w:tcBorders>
              <w:top w:val="double" w:sz="6" w:space="0" w:color="C0C0C0"/>
              <w:left w:val="double" w:sz="6" w:space="0" w:color="C0C0C0"/>
              <w:bottom w:val="double" w:sz="6" w:space="0" w:color="C0C0C0"/>
              <w:right w:val="double" w:sz="6" w:space="0" w:color="C0C0C0"/>
            </w:tcBorders>
          </w:tcPr>
          <w:p w14:paraId="529C6681" w14:textId="77777777" w:rsidR="00000000" w:rsidRDefault="00AA47AD">
            <w:pPr>
              <w:pStyle w:val="Predeterminado"/>
              <w:jc w:val="center"/>
            </w:pPr>
          </w:p>
        </w:tc>
      </w:tr>
      <w:tr w:rsidR="00000000" w:rsidRPr="00AA47AD" w14:paraId="4D9DF9F0" w14:textId="77777777">
        <w:trPr>
          <w:jc w:val="center"/>
        </w:trPr>
        <w:tc>
          <w:tcPr>
            <w:tcW w:w="4073" w:type="dxa"/>
            <w:tcBorders>
              <w:top w:val="double" w:sz="6" w:space="0" w:color="C0C0C0"/>
              <w:left w:val="double" w:sz="6" w:space="0" w:color="C0C0C0"/>
              <w:bottom w:val="double" w:sz="6" w:space="0" w:color="C0C0C0"/>
              <w:right w:val="nil"/>
            </w:tcBorders>
          </w:tcPr>
          <w:p w14:paraId="2D61790F" w14:textId="77777777" w:rsidR="00000000" w:rsidRDefault="00AA47AD">
            <w:pPr>
              <w:pStyle w:val="Predeterminado"/>
              <w:jc w:val="center"/>
            </w:pPr>
            <w:r>
              <w:rPr>
                <w:b/>
                <w:lang w:val="es-AR"/>
              </w:rPr>
              <w:t>Fraccionamiento, determinación estructural de polisacáridos pécticos</w:t>
            </w:r>
          </w:p>
        </w:tc>
        <w:tc>
          <w:tcPr>
            <w:tcW w:w="1135" w:type="dxa"/>
            <w:tcBorders>
              <w:top w:val="double" w:sz="6" w:space="0" w:color="C0C0C0"/>
              <w:left w:val="double" w:sz="6" w:space="0" w:color="C0C0C0"/>
              <w:bottom w:val="double" w:sz="6" w:space="0" w:color="C0C0C0"/>
              <w:right w:val="nil"/>
            </w:tcBorders>
          </w:tcPr>
          <w:p w14:paraId="0F6E10D7" w14:textId="77777777" w:rsidR="00000000" w:rsidRDefault="00AA47AD">
            <w:pPr>
              <w:pStyle w:val="Predeterminado"/>
              <w:jc w:val="center"/>
            </w:pPr>
            <w:r>
              <w:rPr>
                <w:lang w:val="es-AR"/>
              </w:rPr>
              <w:t>x</w:t>
            </w:r>
          </w:p>
        </w:tc>
        <w:tc>
          <w:tcPr>
            <w:tcW w:w="1135" w:type="dxa"/>
            <w:tcBorders>
              <w:top w:val="double" w:sz="6" w:space="0" w:color="C0C0C0"/>
              <w:left w:val="double" w:sz="6" w:space="0" w:color="C0C0C0"/>
              <w:bottom w:val="double" w:sz="6" w:space="0" w:color="C0C0C0"/>
              <w:right w:val="nil"/>
            </w:tcBorders>
          </w:tcPr>
          <w:p w14:paraId="0C88BA29" w14:textId="77777777" w:rsidR="00000000" w:rsidRDefault="00AA47AD">
            <w:pPr>
              <w:pStyle w:val="Predeterminado"/>
              <w:jc w:val="center"/>
            </w:pPr>
          </w:p>
        </w:tc>
        <w:tc>
          <w:tcPr>
            <w:tcW w:w="1195" w:type="dxa"/>
            <w:tcBorders>
              <w:top w:val="double" w:sz="6" w:space="0" w:color="C0C0C0"/>
              <w:left w:val="double" w:sz="6" w:space="0" w:color="C0C0C0"/>
              <w:bottom w:val="double" w:sz="6" w:space="0" w:color="C0C0C0"/>
              <w:right w:val="double" w:sz="6" w:space="0" w:color="C0C0C0"/>
            </w:tcBorders>
          </w:tcPr>
          <w:p w14:paraId="745A7741" w14:textId="77777777" w:rsidR="00000000" w:rsidRDefault="00AA47AD">
            <w:pPr>
              <w:pStyle w:val="Predeterminado"/>
              <w:jc w:val="center"/>
            </w:pPr>
          </w:p>
        </w:tc>
      </w:tr>
      <w:tr w:rsidR="00000000" w:rsidRPr="00AA47AD" w14:paraId="35A264D4" w14:textId="77777777">
        <w:trPr>
          <w:jc w:val="center"/>
        </w:trPr>
        <w:tc>
          <w:tcPr>
            <w:tcW w:w="4073" w:type="dxa"/>
            <w:tcBorders>
              <w:top w:val="double" w:sz="6" w:space="0" w:color="C0C0C0"/>
              <w:left w:val="double" w:sz="6" w:space="0" w:color="C0C0C0"/>
              <w:bottom w:val="double" w:sz="6" w:space="0" w:color="C0C0C0"/>
              <w:right w:val="nil"/>
            </w:tcBorders>
          </w:tcPr>
          <w:p w14:paraId="408A59CF" w14:textId="77777777" w:rsidR="00000000" w:rsidRDefault="00AA47AD">
            <w:pPr>
              <w:pStyle w:val="Predeterminado"/>
              <w:jc w:val="center"/>
            </w:pPr>
            <w:r>
              <w:rPr>
                <w:b/>
                <w:lang w:val="es-AR"/>
              </w:rPr>
              <w:t>Ensayos de inmunomodulación con compuestos purificados</w:t>
            </w:r>
          </w:p>
        </w:tc>
        <w:tc>
          <w:tcPr>
            <w:tcW w:w="1135" w:type="dxa"/>
            <w:tcBorders>
              <w:top w:val="double" w:sz="6" w:space="0" w:color="C0C0C0"/>
              <w:left w:val="double" w:sz="6" w:space="0" w:color="C0C0C0"/>
              <w:bottom w:val="double" w:sz="6" w:space="0" w:color="C0C0C0"/>
              <w:right w:val="nil"/>
            </w:tcBorders>
          </w:tcPr>
          <w:p w14:paraId="16A42A13" w14:textId="77777777" w:rsidR="00000000" w:rsidRDefault="00AA47AD">
            <w:pPr>
              <w:pStyle w:val="Predeterminado"/>
              <w:jc w:val="center"/>
            </w:pPr>
          </w:p>
        </w:tc>
        <w:tc>
          <w:tcPr>
            <w:tcW w:w="1135" w:type="dxa"/>
            <w:tcBorders>
              <w:top w:val="double" w:sz="6" w:space="0" w:color="C0C0C0"/>
              <w:left w:val="double" w:sz="6" w:space="0" w:color="C0C0C0"/>
              <w:bottom w:val="double" w:sz="6" w:space="0" w:color="C0C0C0"/>
              <w:right w:val="nil"/>
            </w:tcBorders>
          </w:tcPr>
          <w:p w14:paraId="32EEE682" w14:textId="77777777" w:rsidR="00000000" w:rsidRDefault="00AA47AD">
            <w:pPr>
              <w:pStyle w:val="Predeterminado"/>
              <w:jc w:val="center"/>
            </w:pPr>
            <w:r>
              <w:rPr>
                <w:lang w:val="es-AR"/>
              </w:rPr>
              <w:t>x</w:t>
            </w:r>
          </w:p>
        </w:tc>
        <w:tc>
          <w:tcPr>
            <w:tcW w:w="1195" w:type="dxa"/>
            <w:tcBorders>
              <w:top w:val="double" w:sz="6" w:space="0" w:color="C0C0C0"/>
              <w:left w:val="double" w:sz="6" w:space="0" w:color="C0C0C0"/>
              <w:bottom w:val="double" w:sz="6" w:space="0" w:color="C0C0C0"/>
              <w:right w:val="double" w:sz="6" w:space="0" w:color="C0C0C0"/>
            </w:tcBorders>
          </w:tcPr>
          <w:p w14:paraId="120DC745" w14:textId="77777777" w:rsidR="00000000" w:rsidRDefault="00AA47AD">
            <w:pPr>
              <w:pStyle w:val="Predeterminado"/>
              <w:jc w:val="center"/>
            </w:pPr>
          </w:p>
        </w:tc>
      </w:tr>
      <w:tr w:rsidR="00000000" w:rsidRPr="00AA47AD" w14:paraId="5C6E8B9A" w14:textId="77777777">
        <w:trPr>
          <w:jc w:val="center"/>
        </w:trPr>
        <w:tc>
          <w:tcPr>
            <w:tcW w:w="4073" w:type="dxa"/>
            <w:tcBorders>
              <w:top w:val="double" w:sz="6" w:space="0" w:color="C0C0C0"/>
              <w:left w:val="double" w:sz="6" w:space="0" w:color="C0C0C0"/>
              <w:bottom w:val="double" w:sz="6" w:space="0" w:color="C0C0C0"/>
              <w:right w:val="nil"/>
            </w:tcBorders>
          </w:tcPr>
          <w:p w14:paraId="3202ECC9" w14:textId="77777777" w:rsidR="00000000" w:rsidRDefault="00AA47AD">
            <w:pPr>
              <w:pStyle w:val="Predeterminado"/>
              <w:jc w:val="center"/>
            </w:pPr>
            <w:r>
              <w:rPr>
                <w:b/>
                <w:lang w:val="es-AR"/>
              </w:rPr>
              <w:t>Determinación de relaciones entre la estructura de los polisacáridos y su ac</w:t>
            </w:r>
            <w:r>
              <w:rPr>
                <w:b/>
                <w:lang w:val="es-AR"/>
              </w:rPr>
              <w:t>tividad</w:t>
            </w:r>
          </w:p>
        </w:tc>
        <w:tc>
          <w:tcPr>
            <w:tcW w:w="1135" w:type="dxa"/>
            <w:tcBorders>
              <w:top w:val="double" w:sz="6" w:space="0" w:color="C0C0C0"/>
              <w:left w:val="double" w:sz="6" w:space="0" w:color="C0C0C0"/>
              <w:bottom w:val="double" w:sz="6" w:space="0" w:color="C0C0C0"/>
              <w:right w:val="nil"/>
            </w:tcBorders>
          </w:tcPr>
          <w:p w14:paraId="3542B7B5" w14:textId="77777777" w:rsidR="00000000" w:rsidRDefault="00AA47AD">
            <w:pPr>
              <w:pStyle w:val="Predeterminado"/>
              <w:jc w:val="center"/>
            </w:pPr>
          </w:p>
        </w:tc>
        <w:tc>
          <w:tcPr>
            <w:tcW w:w="1135" w:type="dxa"/>
            <w:tcBorders>
              <w:top w:val="double" w:sz="6" w:space="0" w:color="C0C0C0"/>
              <w:left w:val="double" w:sz="6" w:space="0" w:color="C0C0C0"/>
              <w:bottom w:val="double" w:sz="6" w:space="0" w:color="C0C0C0"/>
              <w:right w:val="nil"/>
            </w:tcBorders>
          </w:tcPr>
          <w:p w14:paraId="5B8E68AE" w14:textId="77777777" w:rsidR="00000000" w:rsidRDefault="00AA47AD">
            <w:pPr>
              <w:pStyle w:val="Predeterminado"/>
              <w:jc w:val="center"/>
            </w:pPr>
            <w:r>
              <w:rPr>
                <w:lang w:val="es-AR"/>
              </w:rPr>
              <w:t>x</w:t>
            </w:r>
          </w:p>
        </w:tc>
        <w:tc>
          <w:tcPr>
            <w:tcW w:w="1195" w:type="dxa"/>
            <w:tcBorders>
              <w:top w:val="double" w:sz="6" w:space="0" w:color="C0C0C0"/>
              <w:left w:val="double" w:sz="6" w:space="0" w:color="C0C0C0"/>
              <w:bottom w:val="double" w:sz="6" w:space="0" w:color="C0C0C0"/>
              <w:right w:val="double" w:sz="6" w:space="0" w:color="C0C0C0"/>
            </w:tcBorders>
          </w:tcPr>
          <w:p w14:paraId="0152B175" w14:textId="77777777" w:rsidR="00000000" w:rsidRDefault="00AA47AD">
            <w:pPr>
              <w:pStyle w:val="Predeterminado"/>
              <w:jc w:val="center"/>
            </w:pPr>
          </w:p>
        </w:tc>
      </w:tr>
      <w:tr w:rsidR="00000000" w:rsidRPr="00AA47AD" w14:paraId="507A2E20" w14:textId="77777777">
        <w:trPr>
          <w:jc w:val="center"/>
        </w:trPr>
        <w:tc>
          <w:tcPr>
            <w:tcW w:w="4073" w:type="dxa"/>
            <w:tcBorders>
              <w:top w:val="double" w:sz="6" w:space="0" w:color="C0C0C0"/>
              <w:left w:val="double" w:sz="6" w:space="0" w:color="C0C0C0"/>
              <w:bottom w:val="double" w:sz="6" w:space="0" w:color="C0C0C0"/>
              <w:right w:val="nil"/>
            </w:tcBorders>
          </w:tcPr>
          <w:p w14:paraId="17EE7255" w14:textId="77777777" w:rsidR="00000000" w:rsidRDefault="00AA47AD">
            <w:pPr>
              <w:pStyle w:val="Predeterminado"/>
              <w:jc w:val="center"/>
            </w:pPr>
          </w:p>
        </w:tc>
        <w:tc>
          <w:tcPr>
            <w:tcW w:w="1135" w:type="dxa"/>
            <w:tcBorders>
              <w:top w:val="double" w:sz="6" w:space="0" w:color="C0C0C0"/>
              <w:left w:val="double" w:sz="6" w:space="0" w:color="C0C0C0"/>
              <w:bottom w:val="double" w:sz="6" w:space="0" w:color="C0C0C0"/>
              <w:right w:val="nil"/>
            </w:tcBorders>
          </w:tcPr>
          <w:p w14:paraId="31A4EE96" w14:textId="77777777" w:rsidR="00000000" w:rsidRDefault="00AA47AD">
            <w:pPr>
              <w:pStyle w:val="Predeterminado"/>
              <w:jc w:val="center"/>
            </w:pPr>
          </w:p>
        </w:tc>
        <w:tc>
          <w:tcPr>
            <w:tcW w:w="1135" w:type="dxa"/>
            <w:tcBorders>
              <w:top w:val="double" w:sz="6" w:space="0" w:color="C0C0C0"/>
              <w:left w:val="double" w:sz="6" w:space="0" w:color="C0C0C0"/>
              <w:bottom w:val="double" w:sz="6" w:space="0" w:color="C0C0C0"/>
              <w:right w:val="nil"/>
            </w:tcBorders>
          </w:tcPr>
          <w:p w14:paraId="1F61C3D1" w14:textId="77777777" w:rsidR="00000000" w:rsidRDefault="00AA47AD">
            <w:pPr>
              <w:pStyle w:val="Predeterminado"/>
              <w:jc w:val="center"/>
            </w:pPr>
          </w:p>
        </w:tc>
        <w:tc>
          <w:tcPr>
            <w:tcW w:w="1195" w:type="dxa"/>
            <w:tcBorders>
              <w:top w:val="double" w:sz="6" w:space="0" w:color="C0C0C0"/>
              <w:left w:val="double" w:sz="6" w:space="0" w:color="C0C0C0"/>
              <w:bottom w:val="double" w:sz="6" w:space="0" w:color="C0C0C0"/>
              <w:right w:val="double" w:sz="6" w:space="0" w:color="C0C0C0"/>
            </w:tcBorders>
          </w:tcPr>
          <w:p w14:paraId="04A1DBCE" w14:textId="77777777" w:rsidR="00000000" w:rsidRDefault="00AA47AD">
            <w:pPr>
              <w:pStyle w:val="Predeterminado"/>
              <w:jc w:val="center"/>
            </w:pPr>
          </w:p>
        </w:tc>
      </w:tr>
      <w:tr w:rsidR="00000000" w:rsidRPr="00AA47AD" w14:paraId="5F923D11" w14:textId="77777777">
        <w:trPr>
          <w:jc w:val="center"/>
        </w:trPr>
        <w:tc>
          <w:tcPr>
            <w:tcW w:w="4073" w:type="dxa"/>
            <w:tcBorders>
              <w:top w:val="double" w:sz="6" w:space="0" w:color="C0C0C0"/>
              <w:left w:val="double" w:sz="6" w:space="0" w:color="C0C0C0"/>
              <w:bottom w:val="double" w:sz="6" w:space="0" w:color="C0C0C0"/>
              <w:right w:val="nil"/>
            </w:tcBorders>
          </w:tcPr>
          <w:p w14:paraId="7A48559E" w14:textId="77777777" w:rsidR="00000000" w:rsidRDefault="00AA47AD">
            <w:pPr>
              <w:pStyle w:val="Predeterminado"/>
              <w:jc w:val="center"/>
            </w:pPr>
          </w:p>
        </w:tc>
        <w:tc>
          <w:tcPr>
            <w:tcW w:w="1135" w:type="dxa"/>
            <w:tcBorders>
              <w:top w:val="double" w:sz="6" w:space="0" w:color="C0C0C0"/>
              <w:left w:val="double" w:sz="6" w:space="0" w:color="C0C0C0"/>
              <w:bottom w:val="double" w:sz="6" w:space="0" w:color="C0C0C0"/>
              <w:right w:val="nil"/>
            </w:tcBorders>
          </w:tcPr>
          <w:p w14:paraId="44097FFD" w14:textId="77777777" w:rsidR="00000000" w:rsidRDefault="00AA47AD">
            <w:pPr>
              <w:pStyle w:val="Predeterminado"/>
              <w:jc w:val="center"/>
            </w:pPr>
          </w:p>
        </w:tc>
        <w:tc>
          <w:tcPr>
            <w:tcW w:w="1135" w:type="dxa"/>
            <w:tcBorders>
              <w:top w:val="double" w:sz="6" w:space="0" w:color="C0C0C0"/>
              <w:left w:val="double" w:sz="6" w:space="0" w:color="C0C0C0"/>
              <w:bottom w:val="double" w:sz="6" w:space="0" w:color="C0C0C0"/>
              <w:right w:val="nil"/>
            </w:tcBorders>
          </w:tcPr>
          <w:p w14:paraId="3B7FF4D6" w14:textId="77777777" w:rsidR="00000000" w:rsidRDefault="00AA47AD">
            <w:pPr>
              <w:pStyle w:val="Predeterminado"/>
              <w:jc w:val="center"/>
            </w:pPr>
          </w:p>
        </w:tc>
        <w:tc>
          <w:tcPr>
            <w:tcW w:w="1195" w:type="dxa"/>
            <w:tcBorders>
              <w:top w:val="double" w:sz="6" w:space="0" w:color="C0C0C0"/>
              <w:left w:val="double" w:sz="6" w:space="0" w:color="C0C0C0"/>
              <w:bottom w:val="double" w:sz="6" w:space="0" w:color="C0C0C0"/>
              <w:right w:val="double" w:sz="6" w:space="0" w:color="C0C0C0"/>
            </w:tcBorders>
          </w:tcPr>
          <w:p w14:paraId="36E08D1C" w14:textId="77777777" w:rsidR="00000000" w:rsidRDefault="00AA47AD">
            <w:pPr>
              <w:pStyle w:val="Predeterminado"/>
              <w:jc w:val="center"/>
            </w:pPr>
          </w:p>
        </w:tc>
      </w:tr>
      <w:tr w:rsidR="00000000" w:rsidRPr="00AA47AD" w14:paraId="21D2B72B" w14:textId="77777777">
        <w:trPr>
          <w:jc w:val="center"/>
        </w:trPr>
        <w:tc>
          <w:tcPr>
            <w:tcW w:w="4073" w:type="dxa"/>
            <w:tcBorders>
              <w:top w:val="double" w:sz="6" w:space="0" w:color="C0C0C0"/>
              <w:left w:val="double" w:sz="6" w:space="0" w:color="C0C0C0"/>
              <w:bottom w:val="double" w:sz="6" w:space="0" w:color="C0C0C0"/>
              <w:right w:val="nil"/>
            </w:tcBorders>
          </w:tcPr>
          <w:p w14:paraId="083DA379" w14:textId="77777777" w:rsidR="00000000" w:rsidRDefault="00AA47AD">
            <w:pPr>
              <w:pStyle w:val="Predeterminado"/>
              <w:ind w:left="-4854" w:right="-32" w:firstLine="4854"/>
              <w:jc w:val="center"/>
            </w:pPr>
            <w:r>
              <w:rPr>
                <w:b/>
                <w:lang w:val="es-AR"/>
              </w:rPr>
              <w:t>Comentarios y aclaraciones:</w:t>
            </w:r>
          </w:p>
        </w:tc>
        <w:tc>
          <w:tcPr>
            <w:tcW w:w="3465" w:type="dxa"/>
            <w:gridSpan w:val="3"/>
            <w:tcBorders>
              <w:top w:val="double" w:sz="6" w:space="0" w:color="C0C0C0"/>
              <w:left w:val="double" w:sz="6" w:space="0" w:color="C0C0C0"/>
              <w:bottom w:val="double" w:sz="6" w:space="0" w:color="C0C0C0"/>
              <w:right w:val="double" w:sz="6" w:space="0" w:color="C0C0C0"/>
            </w:tcBorders>
          </w:tcPr>
          <w:p w14:paraId="3FB51AD2" w14:textId="77777777" w:rsidR="00000000" w:rsidRDefault="00AA47AD">
            <w:pPr>
              <w:pStyle w:val="Predeterminado"/>
              <w:ind w:left="-4854" w:right="-32" w:firstLine="4854"/>
              <w:jc w:val="center"/>
            </w:pPr>
          </w:p>
        </w:tc>
      </w:tr>
    </w:tbl>
    <w:p w14:paraId="2BC9AE09" w14:textId="77777777" w:rsidR="00000000" w:rsidRDefault="00AA47AD">
      <w:pPr>
        <w:pStyle w:val="Predeterminado"/>
        <w:jc w:val="both"/>
      </w:pPr>
    </w:p>
    <w:p w14:paraId="732658B2" w14:textId="77777777" w:rsidR="00000000" w:rsidRDefault="00AA47AD">
      <w:pPr>
        <w:pStyle w:val="Predeterminado"/>
        <w:jc w:val="both"/>
      </w:pPr>
    </w:p>
    <w:p w14:paraId="2125A52B" w14:textId="77777777" w:rsidR="00000000" w:rsidRDefault="00AA47AD">
      <w:pPr>
        <w:pStyle w:val="Predeterminado"/>
        <w:numPr>
          <w:ilvl w:val="1"/>
          <w:numId w:val="4"/>
        </w:numPr>
        <w:jc w:val="both"/>
      </w:pPr>
      <w:r>
        <w:rPr>
          <w:b/>
          <w:lang w:val="es-AR"/>
        </w:rPr>
        <w:t>Actividades de Transferencia</w:t>
      </w:r>
      <w:r>
        <w:rPr>
          <w:lang w:val="es-AR"/>
        </w:rPr>
        <w:t xml:space="preserve"> </w:t>
      </w:r>
    </w:p>
    <w:p w14:paraId="3C3E29E1" w14:textId="77777777" w:rsidR="00000000" w:rsidRDefault="00AA47AD">
      <w:pPr>
        <w:pStyle w:val="Predeterminado"/>
        <w:ind w:left="720"/>
        <w:jc w:val="both"/>
      </w:pPr>
    </w:p>
    <w:p w14:paraId="37D96C9D" w14:textId="77777777" w:rsidR="00000000" w:rsidRDefault="00AA47AD">
      <w:pPr>
        <w:pStyle w:val="Predeterminado"/>
        <w:spacing w:line="360" w:lineRule="auto"/>
        <w:ind w:firstLine="708"/>
        <w:jc w:val="both"/>
      </w:pPr>
      <w:r>
        <w:rPr>
          <w:lang w:val="es-AR"/>
        </w:rPr>
        <w:t>En caso de obtener resultados que puedan suponer su empleo como fármacos debido a sus propiedades inmunomoduladoras se evaluará</w:t>
      </w:r>
      <w:r>
        <w:rPr>
          <w:lang w:val="es-AR"/>
        </w:rPr>
        <w:t xml:space="preserve"> la conveniencia de la protección de los mismos por medio de patentes nacionales o internacionales que eventualmente podrían ser transferidas a empresas para su desarrollo comercial.</w:t>
      </w:r>
    </w:p>
    <w:p w14:paraId="2B288EA4" w14:textId="77777777" w:rsidR="00000000" w:rsidRDefault="00AA47AD">
      <w:pPr>
        <w:pStyle w:val="Predeterminado"/>
        <w:spacing w:line="360" w:lineRule="auto"/>
        <w:jc w:val="both"/>
      </w:pPr>
      <w:r>
        <w:rPr>
          <w:lang w:val="es-AR"/>
        </w:rPr>
        <w:t>En caso contrario los resultados obtenidos serán publicados en revistas i</w:t>
      </w:r>
      <w:r>
        <w:rPr>
          <w:lang w:val="es-AR"/>
        </w:rPr>
        <w:t>nternacionales de nivel en la especialidad.</w:t>
      </w:r>
    </w:p>
    <w:p w14:paraId="4DF4E79E" w14:textId="77777777" w:rsidR="00000000" w:rsidRDefault="00AA47AD">
      <w:pPr>
        <w:pStyle w:val="Predeterminado"/>
        <w:jc w:val="both"/>
      </w:pPr>
    </w:p>
    <w:p w14:paraId="47668186" w14:textId="77777777" w:rsidR="00000000" w:rsidRDefault="00AA47AD">
      <w:pPr>
        <w:pStyle w:val="Predeterminado"/>
        <w:numPr>
          <w:ilvl w:val="1"/>
          <w:numId w:val="4"/>
        </w:numPr>
      </w:pPr>
      <w:r>
        <w:rPr>
          <w:b/>
          <w:lang w:val="es-AR"/>
        </w:rPr>
        <w:t>Vinculación del proyecto con la actividad docente desarrollada en UCA</w:t>
      </w:r>
    </w:p>
    <w:p w14:paraId="4283C573" w14:textId="77777777" w:rsidR="00000000" w:rsidRDefault="00AA47AD">
      <w:pPr>
        <w:pStyle w:val="Predeterminado"/>
        <w:ind w:left="720"/>
      </w:pPr>
    </w:p>
    <w:p w14:paraId="543AA976" w14:textId="77777777" w:rsidR="00000000" w:rsidRDefault="00AA47AD">
      <w:pPr>
        <w:pStyle w:val="Predeterminado"/>
        <w:spacing w:line="360" w:lineRule="auto"/>
        <w:ind w:firstLine="708"/>
      </w:pPr>
      <w:r>
        <w:rPr>
          <w:lang w:val="es-AR"/>
        </w:rPr>
        <w:lastRenderedPageBreak/>
        <w:t xml:space="preserve">El desarrollo del proyecto será potencialmente enriquecedor para los temas dictados respecto a la utilización de hidratos de carbono en </w:t>
      </w:r>
      <w:r>
        <w:rPr>
          <w:lang w:val="es-AR"/>
        </w:rPr>
        <w:t>Nutrición y Alimentación Animal.</w:t>
      </w:r>
    </w:p>
    <w:p w14:paraId="69840827" w14:textId="77777777" w:rsidR="00000000" w:rsidRDefault="00AA47AD">
      <w:pPr>
        <w:pStyle w:val="Predeterminado"/>
      </w:pPr>
    </w:p>
    <w:p w14:paraId="0939BCC7" w14:textId="77777777" w:rsidR="00000000" w:rsidRDefault="00AA47AD">
      <w:pPr>
        <w:pStyle w:val="Predeterminado"/>
      </w:pPr>
      <w:r>
        <w:rPr>
          <w:b/>
          <w:lang w:val="es-AR"/>
        </w:rPr>
        <w:t>4.4 Vinculación del proyecto con problemas de la Comunidad</w:t>
      </w:r>
    </w:p>
    <w:p w14:paraId="070BD465" w14:textId="77777777" w:rsidR="00000000" w:rsidRDefault="00AA47AD">
      <w:pPr>
        <w:pStyle w:val="Predeterminado"/>
      </w:pPr>
    </w:p>
    <w:p w14:paraId="6BDFDFB6" w14:textId="77777777" w:rsidR="00000000" w:rsidRDefault="00AA47AD">
      <w:pPr>
        <w:pStyle w:val="Predeterminado"/>
        <w:spacing w:line="360" w:lineRule="auto"/>
        <w:ind w:firstLine="708"/>
        <w:jc w:val="both"/>
      </w:pPr>
      <w:r>
        <w:rPr>
          <w:lang w:val="es-AR"/>
        </w:rPr>
        <w:t>En función de los resultados de este proyecto se prodrán evaluar diferentes estrategias para generar una respuesta inmune en distintas especies de monogástricos u</w:t>
      </w:r>
      <w:r>
        <w:rPr>
          <w:lang w:val="es-AR"/>
        </w:rPr>
        <w:t>tilizando hidratos de carbono como fuente alternativa a antibióticos y otros compuestos químicos.</w:t>
      </w:r>
    </w:p>
    <w:p w14:paraId="06962BBA" w14:textId="77777777" w:rsidR="00000000" w:rsidRDefault="00AA47AD">
      <w:pPr>
        <w:pStyle w:val="Predeterminado"/>
        <w:jc w:val="both"/>
      </w:pPr>
    </w:p>
    <w:tbl>
      <w:tblPr>
        <w:tblW w:w="0" w:type="auto"/>
        <w:tblInd w:w="70" w:type="dxa"/>
        <w:tblLayout w:type="fixed"/>
        <w:tblCellMar>
          <w:left w:w="70" w:type="dxa"/>
          <w:right w:w="70" w:type="dxa"/>
        </w:tblCellMar>
        <w:tblLook w:val="0000" w:firstRow="0" w:lastRow="0" w:firstColumn="0" w:lastColumn="0" w:noHBand="0" w:noVBand="0"/>
      </w:tblPr>
      <w:tblGrid>
        <w:gridCol w:w="9644"/>
      </w:tblGrid>
      <w:tr w:rsidR="00000000" w:rsidRPr="00AA47AD" w14:paraId="1D7E4572" w14:textId="77777777">
        <w:trPr>
          <w:trHeight w:val="95"/>
        </w:trPr>
        <w:tc>
          <w:tcPr>
            <w:tcW w:w="9644" w:type="dxa"/>
            <w:tcBorders>
              <w:top w:val="single" w:sz="2" w:space="0" w:color="000000"/>
              <w:left w:val="single" w:sz="2" w:space="0" w:color="000000"/>
              <w:bottom w:val="single" w:sz="2" w:space="0" w:color="000000"/>
              <w:right w:val="single" w:sz="2" w:space="0" w:color="000000"/>
            </w:tcBorders>
            <w:shd w:val="clear" w:color="auto" w:fill="003366"/>
          </w:tcPr>
          <w:p w14:paraId="4A18338B" w14:textId="77777777" w:rsidR="00000000" w:rsidRDefault="00AA47AD">
            <w:pPr>
              <w:pStyle w:val="Predeterminado"/>
              <w:jc w:val="both"/>
            </w:pPr>
            <w:r>
              <w:rPr>
                <w:b/>
                <w:lang w:val="es-AR"/>
              </w:rPr>
              <w:t>5.  PERSONAL ASIGNADO AL PROYECTO</w:t>
            </w:r>
          </w:p>
        </w:tc>
      </w:tr>
    </w:tbl>
    <w:p w14:paraId="103AFA1D" w14:textId="77777777" w:rsidR="00000000" w:rsidRDefault="00AA47AD">
      <w:pPr>
        <w:pStyle w:val="Predeterminado"/>
        <w:jc w:val="both"/>
      </w:pPr>
    </w:p>
    <w:p w14:paraId="4199D9E4" w14:textId="77777777" w:rsidR="00000000" w:rsidRDefault="00AA47AD">
      <w:pPr>
        <w:pStyle w:val="Predeterminado"/>
        <w:jc w:val="both"/>
      </w:pPr>
      <w:r>
        <w:rPr>
          <w:b/>
          <w:lang w:val="es-AR"/>
        </w:rPr>
        <w:t>5.1 Completar la tabla de datos para cada uno de los integrantes en el siguiente orden: Director, Codirector, Investigadores e Investigadores en formación.</w:t>
      </w:r>
    </w:p>
    <w:p w14:paraId="4648D1E0" w14:textId="77777777" w:rsidR="00000000" w:rsidRDefault="00AA47AD">
      <w:pPr>
        <w:pStyle w:val="Predeterminado"/>
        <w:jc w:val="both"/>
      </w:pPr>
    </w:p>
    <w:p w14:paraId="72A8543D" w14:textId="77777777" w:rsidR="00000000" w:rsidRDefault="00AA47AD">
      <w:pPr>
        <w:pStyle w:val="Predeterminado"/>
        <w:jc w:val="both"/>
      </w:pPr>
      <w:r>
        <w:rPr>
          <w:b/>
          <w:lang w:val="es-AR"/>
        </w:rPr>
        <w:t>5.1.1. Por la UCA</w:t>
      </w:r>
    </w:p>
    <w:p w14:paraId="3EB4AE82" w14:textId="77777777" w:rsidR="00000000" w:rsidRDefault="00AA47AD">
      <w:pPr>
        <w:pStyle w:val="Predeterminado"/>
        <w:jc w:val="both"/>
      </w:pPr>
    </w:p>
    <w:tbl>
      <w:tblPr>
        <w:tblW w:w="0" w:type="auto"/>
        <w:tblInd w:w="-85" w:type="dxa"/>
        <w:tblLayout w:type="fixed"/>
        <w:tblLook w:val="0000" w:firstRow="0" w:lastRow="0" w:firstColumn="0" w:lastColumn="0" w:noHBand="0" w:noVBand="0"/>
      </w:tblPr>
      <w:tblGrid>
        <w:gridCol w:w="4665"/>
        <w:gridCol w:w="1956"/>
        <w:gridCol w:w="1673"/>
        <w:gridCol w:w="1754"/>
      </w:tblGrid>
      <w:tr w:rsidR="00000000" w:rsidRPr="00AA47AD" w14:paraId="509C47EF" w14:textId="77777777">
        <w:trPr>
          <w:trHeight w:val="255"/>
        </w:trPr>
        <w:tc>
          <w:tcPr>
            <w:tcW w:w="4665" w:type="dxa"/>
            <w:tcBorders>
              <w:top w:val="double" w:sz="6" w:space="0" w:color="C0C0C0"/>
              <w:left w:val="double" w:sz="6" w:space="0" w:color="C0C0C0"/>
              <w:bottom w:val="double" w:sz="6" w:space="0" w:color="C0C0C0"/>
              <w:right w:val="nil"/>
            </w:tcBorders>
          </w:tcPr>
          <w:p w14:paraId="34977EEE" w14:textId="77777777" w:rsidR="00000000" w:rsidRDefault="00AA47AD">
            <w:pPr>
              <w:pStyle w:val="Predeterminado"/>
            </w:pPr>
            <w:r>
              <w:rPr>
                <w:b/>
                <w:lang w:val="es-AR"/>
              </w:rPr>
              <w:t>Función:</w:t>
            </w:r>
          </w:p>
        </w:tc>
        <w:tc>
          <w:tcPr>
            <w:tcW w:w="5383" w:type="dxa"/>
            <w:gridSpan w:val="3"/>
            <w:tcBorders>
              <w:top w:val="double" w:sz="6" w:space="0" w:color="C0C0C0"/>
              <w:left w:val="double" w:sz="6" w:space="0" w:color="C0C0C0"/>
              <w:bottom w:val="double" w:sz="6" w:space="0" w:color="C0C0C0"/>
              <w:right w:val="double" w:sz="6" w:space="0" w:color="C0C0C0"/>
            </w:tcBorders>
          </w:tcPr>
          <w:p w14:paraId="32ED31CD" w14:textId="77777777" w:rsidR="00000000" w:rsidRDefault="00AA47AD">
            <w:pPr>
              <w:pStyle w:val="Predeterminado"/>
            </w:pPr>
            <w:r>
              <w:rPr>
                <w:sz w:val="22"/>
                <w:lang w:val="es-AR"/>
              </w:rPr>
              <w:t>Investigador del grupo responsable</w:t>
            </w:r>
          </w:p>
        </w:tc>
      </w:tr>
      <w:tr w:rsidR="00000000" w:rsidRPr="00AA47AD" w14:paraId="5D9FD8E6" w14:textId="77777777">
        <w:trPr>
          <w:trHeight w:val="255"/>
        </w:trPr>
        <w:tc>
          <w:tcPr>
            <w:tcW w:w="4665" w:type="dxa"/>
            <w:tcBorders>
              <w:top w:val="double" w:sz="6" w:space="0" w:color="C0C0C0"/>
              <w:left w:val="double" w:sz="6" w:space="0" w:color="C0C0C0"/>
              <w:bottom w:val="double" w:sz="6" w:space="0" w:color="C0C0C0"/>
              <w:right w:val="nil"/>
            </w:tcBorders>
          </w:tcPr>
          <w:p w14:paraId="16807A16" w14:textId="77777777" w:rsidR="00000000" w:rsidRDefault="00AA47AD">
            <w:pPr>
              <w:pStyle w:val="Predeterminado"/>
            </w:pPr>
            <w:r>
              <w:rPr>
                <w:b/>
                <w:lang w:val="es-AR"/>
              </w:rPr>
              <w:t>Apellido y Nombre:</w:t>
            </w:r>
          </w:p>
        </w:tc>
        <w:tc>
          <w:tcPr>
            <w:tcW w:w="5383" w:type="dxa"/>
            <w:gridSpan w:val="3"/>
            <w:tcBorders>
              <w:top w:val="double" w:sz="6" w:space="0" w:color="C0C0C0"/>
              <w:left w:val="double" w:sz="6" w:space="0" w:color="C0C0C0"/>
              <w:bottom w:val="double" w:sz="6" w:space="0" w:color="C0C0C0"/>
              <w:right w:val="double" w:sz="6" w:space="0" w:color="C0C0C0"/>
            </w:tcBorders>
          </w:tcPr>
          <w:p w14:paraId="59D864CC" w14:textId="77777777" w:rsidR="00000000" w:rsidRDefault="00AA47AD">
            <w:pPr>
              <w:pStyle w:val="Predeterminado"/>
            </w:pPr>
            <w:r>
              <w:rPr>
                <w:sz w:val="22"/>
                <w:lang w:val="es-AR"/>
              </w:rPr>
              <w:t>Vago, María Elen</w:t>
            </w:r>
            <w:r>
              <w:rPr>
                <w:sz w:val="22"/>
                <w:lang w:val="es-AR"/>
              </w:rPr>
              <w:t>a</w:t>
            </w:r>
          </w:p>
        </w:tc>
      </w:tr>
      <w:tr w:rsidR="00000000" w:rsidRPr="00AA47AD" w14:paraId="5BCF26DE" w14:textId="77777777">
        <w:trPr>
          <w:trHeight w:val="255"/>
        </w:trPr>
        <w:tc>
          <w:tcPr>
            <w:tcW w:w="4665" w:type="dxa"/>
            <w:tcBorders>
              <w:top w:val="double" w:sz="6" w:space="0" w:color="C0C0C0"/>
              <w:left w:val="double" w:sz="6" w:space="0" w:color="C0C0C0"/>
              <w:bottom w:val="double" w:sz="6" w:space="0" w:color="C0C0C0"/>
              <w:right w:val="nil"/>
            </w:tcBorders>
          </w:tcPr>
          <w:p w14:paraId="5850D3E2" w14:textId="77777777" w:rsidR="00000000" w:rsidRDefault="00AA47AD">
            <w:pPr>
              <w:pStyle w:val="Predeterminado"/>
            </w:pPr>
            <w:r>
              <w:rPr>
                <w:b/>
                <w:lang w:val="es-AR"/>
              </w:rPr>
              <w:t>E -mail:</w:t>
            </w:r>
          </w:p>
        </w:tc>
        <w:tc>
          <w:tcPr>
            <w:tcW w:w="5383" w:type="dxa"/>
            <w:gridSpan w:val="3"/>
            <w:tcBorders>
              <w:top w:val="double" w:sz="6" w:space="0" w:color="C0C0C0"/>
              <w:left w:val="double" w:sz="6" w:space="0" w:color="C0C0C0"/>
              <w:bottom w:val="double" w:sz="6" w:space="0" w:color="C0C0C0"/>
              <w:right w:val="double" w:sz="6" w:space="0" w:color="C0C0C0"/>
            </w:tcBorders>
          </w:tcPr>
          <w:p w14:paraId="2FDD6742" w14:textId="77777777" w:rsidR="00000000" w:rsidRDefault="00AA47AD">
            <w:pPr>
              <w:pStyle w:val="Predeterminado"/>
            </w:pPr>
            <w:r>
              <w:rPr>
                <w:sz w:val="22"/>
                <w:lang w:val="es-AR"/>
              </w:rPr>
              <w:t>mevago@uca.edu.ar</w:t>
            </w:r>
          </w:p>
        </w:tc>
      </w:tr>
      <w:tr w:rsidR="00000000" w:rsidRPr="00AA47AD" w14:paraId="139F2A6A" w14:textId="77777777">
        <w:trPr>
          <w:trHeight w:val="255"/>
        </w:trPr>
        <w:tc>
          <w:tcPr>
            <w:tcW w:w="4665" w:type="dxa"/>
            <w:tcBorders>
              <w:top w:val="double" w:sz="6" w:space="0" w:color="C0C0C0"/>
              <w:left w:val="double" w:sz="6" w:space="0" w:color="C0C0C0"/>
              <w:bottom w:val="double" w:sz="6" w:space="0" w:color="C0C0C0"/>
              <w:right w:val="nil"/>
            </w:tcBorders>
          </w:tcPr>
          <w:p w14:paraId="3512EEF6" w14:textId="77777777" w:rsidR="00000000" w:rsidRDefault="00AA47AD">
            <w:pPr>
              <w:pStyle w:val="Predeterminado"/>
            </w:pPr>
            <w:r>
              <w:rPr>
                <w:b/>
                <w:lang w:val="es-AR"/>
              </w:rPr>
              <w:t>Título de Grado:</w:t>
            </w:r>
          </w:p>
        </w:tc>
        <w:tc>
          <w:tcPr>
            <w:tcW w:w="5383" w:type="dxa"/>
            <w:gridSpan w:val="3"/>
            <w:tcBorders>
              <w:top w:val="double" w:sz="6" w:space="0" w:color="C0C0C0"/>
              <w:left w:val="double" w:sz="6" w:space="0" w:color="C0C0C0"/>
              <w:bottom w:val="double" w:sz="6" w:space="0" w:color="C0C0C0"/>
              <w:right w:val="double" w:sz="6" w:space="0" w:color="C0C0C0"/>
            </w:tcBorders>
          </w:tcPr>
          <w:p w14:paraId="326624D1" w14:textId="77777777" w:rsidR="00000000" w:rsidRDefault="00AA47AD">
            <w:pPr>
              <w:pStyle w:val="Predeterminado"/>
            </w:pPr>
            <w:r>
              <w:rPr>
                <w:sz w:val="22"/>
                <w:lang w:val="es-AR"/>
              </w:rPr>
              <w:t>Ingeniera en Producción Agropecuaria</w:t>
            </w:r>
          </w:p>
        </w:tc>
      </w:tr>
      <w:tr w:rsidR="00000000" w:rsidRPr="00AA47AD" w14:paraId="34B150A4" w14:textId="77777777">
        <w:trPr>
          <w:trHeight w:val="255"/>
        </w:trPr>
        <w:tc>
          <w:tcPr>
            <w:tcW w:w="4665" w:type="dxa"/>
            <w:tcBorders>
              <w:top w:val="double" w:sz="6" w:space="0" w:color="C0C0C0"/>
              <w:left w:val="double" w:sz="6" w:space="0" w:color="C0C0C0"/>
              <w:bottom w:val="double" w:sz="6" w:space="0" w:color="C0C0C0"/>
              <w:right w:val="nil"/>
            </w:tcBorders>
          </w:tcPr>
          <w:p w14:paraId="5C2AD8BB" w14:textId="77777777" w:rsidR="00000000" w:rsidRDefault="00AA47AD">
            <w:pPr>
              <w:pStyle w:val="Predeterminado"/>
            </w:pPr>
            <w:r>
              <w:rPr>
                <w:b/>
                <w:lang w:val="es-AR"/>
              </w:rPr>
              <w:t>Máximo Título Obtenido:</w:t>
            </w:r>
          </w:p>
        </w:tc>
        <w:tc>
          <w:tcPr>
            <w:tcW w:w="5383" w:type="dxa"/>
            <w:gridSpan w:val="3"/>
            <w:tcBorders>
              <w:top w:val="double" w:sz="6" w:space="0" w:color="C0C0C0"/>
              <w:left w:val="double" w:sz="6" w:space="0" w:color="C0C0C0"/>
              <w:bottom w:val="double" w:sz="6" w:space="0" w:color="C0C0C0"/>
              <w:right w:val="double" w:sz="6" w:space="0" w:color="C0C0C0"/>
            </w:tcBorders>
          </w:tcPr>
          <w:p w14:paraId="72C96EEC" w14:textId="77777777" w:rsidR="00000000" w:rsidRDefault="00AA47AD">
            <w:pPr>
              <w:pStyle w:val="Predeterminado"/>
            </w:pPr>
            <w:r>
              <w:rPr>
                <w:sz w:val="22"/>
                <w:lang w:val="es-AR"/>
              </w:rPr>
              <w:t>Doctora en ciencias agropecuarias (UBA)</w:t>
            </w:r>
          </w:p>
        </w:tc>
      </w:tr>
      <w:tr w:rsidR="00000000" w:rsidRPr="00AA47AD" w14:paraId="33300042" w14:textId="77777777">
        <w:trPr>
          <w:trHeight w:val="255"/>
        </w:trPr>
        <w:tc>
          <w:tcPr>
            <w:tcW w:w="4665" w:type="dxa"/>
            <w:tcBorders>
              <w:top w:val="double" w:sz="6" w:space="0" w:color="C0C0C0"/>
              <w:left w:val="double" w:sz="6" w:space="0" w:color="C0C0C0"/>
              <w:bottom w:val="double" w:sz="6" w:space="0" w:color="C0C0C0"/>
              <w:right w:val="nil"/>
            </w:tcBorders>
          </w:tcPr>
          <w:p w14:paraId="116F75A1" w14:textId="77777777" w:rsidR="00000000" w:rsidRDefault="00AA47AD">
            <w:pPr>
              <w:pStyle w:val="Predeterminado"/>
            </w:pPr>
            <w:r>
              <w:rPr>
                <w:b/>
                <w:lang w:val="es-AR"/>
              </w:rPr>
              <w:t>Cargo Docente:</w:t>
            </w:r>
          </w:p>
        </w:tc>
        <w:tc>
          <w:tcPr>
            <w:tcW w:w="5383" w:type="dxa"/>
            <w:gridSpan w:val="3"/>
            <w:tcBorders>
              <w:top w:val="double" w:sz="6" w:space="0" w:color="C0C0C0"/>
              <w:left w:val="double" w:sz="6" w:space="0" w:color="C0C0C0"/>
              <w:bottom w:val="double" w:sz="6" w:space="0" w:color="C0C0C0"/>
              <w:right w:val="double" w:sz="6" w:space="0" w:color="C0C0C0"/>
            </w:tcBorders>
          </w:tcPr>
          <w:p w14:paraId="7C0050FD" w14:textId="77777777" w:rsidR="00000000" w:rsidRDefault="00AA47AD">
            <w:pPr>
              <w:pStyle w:val="Predeterminado"/>
            </w:pPr>
            <w:r>
              <w:rPr>
                <w:sz w:val="22"/>
                <w:lang w:val="es-AR"/>
              </w:rPr>
              <w:t>Profesora Adjunta</w:t>
            </w:r>
          </w:p>
        </w:tc>
      </w:tr>
      <w:tr w:rsidR="00000000" w:rsidRPr="00AA47AD" w14:paraId="50365486" w14:textId="77777777">
        <w:trPr>
          <w:trHeight w:val="377"/>
        </w:trPr>
        <w:tc>
          <w:tcPr>
            <w:tcW w:w="4665" w:type="dxa"/>
            <w:tcBorders>
              <w:top w:val="double" w:sz="6" w:space="0" w:color="C0C0C0"/>
              <w:left w:val="double" w:sz="6" w:space="0" w:color="C0C0C0"/>
              <w:bottom w:val="double" w:sz="6" w:space="0" w:color="C0C0C0"/>
              <w:right w:val="nil"/>
            </w:tcBorders>
          </w:tcPr>
          <w:p w14:paraId="5386B1AD" w14:textId="77777777" w:rsidR="00000000" w:rsidRDefault="00AA47AD">
            <w:pPr>
              <w:pStyle w:val="Predeterminado"/>
              <w:spacing w:after="120"/>
            </w:pPr>
            <w:r>
              <w:rPr>
                <w:b/>
                <w:lang w:val="es-AR"/>
              </w:rPr>
              <w:t xml:space="preserve">Si reviste como investigador en otra Institución (Ej.: CONICET, etc.), consignar: </w:t>
            </w:r>
          </w:p>
        </w:tc>
        <w:tc>
          <w:tcPr>
            <w:tcW w:w="1956" w:type="dxa"/>
            <w:tcBorders>
              <w:top w:val="double" w:sz="6" w:space="0" w:color="C0C0C0"/>
              <w:left w:val="double" w:sz="6" w:space="0" w:color="C0C0C0"/>
              <w:bottom w:val="double" w:sz="6" w:space="0" w:color="C0C0C0"/>
              <w:right w:val="nil"/>
            </w:tcBorders>
          </w:tcPr>
          <w:p w14:paraId="715B218C" w14:textId="77777777" w:rsidR="00000000" w:rsidRDefault="00AA47AD">
            <w:pPr>
              <w:pStyle w:val="Predeterminado"/>
              <w:jc w:val="center"/>
            </w:pPr>
            <w:r>
              <w:rPr>
                <w:b/>
                <w:lang w:val="es-AR"/>
              </w:rPr>
              <w:t>Institución</w:t>
            </w:r>
          </w:p>
          <w:p w14:paraId="5022E0AF" w14:textId="77777777" w:rsidR="00000000" w:rsidRDefault="00AA47AD">
            <w:pPr>
              <w:pStyle w:val="Predeterminado"/>
              <w:jc w:val="center"/>
            </w:pPr>
            <w:r>
              <w:rPr>
                <w:sz w:val="22"/>
                <w:lang w:val="es-AR"/>
              </w:rPr>
              <w:t xml:space="preserve">- </w:t>
            </w:r>
          </w:p>
        </w:tc>
        <w:tc>
          <w:tcPr>
            <w:tcW w:w="1673" w:type="dxa"/>
            <w:tcBorders>
              <w:top w:val="double" w:sz="6" w:space="0" w:color="C0C0C0"/>
              <w:left w:val="double" w:sz="6" w:space="0" w:color="C0C0C0"/>
              <w:bottom w:val="double" w:sz="6" w:space="0" w:color="C0C0C0"/>
              <w:right w:val="nil"/>
            </w:tcBorders>
          </w:tcPr>
          <w:p w14:paraId="651277E8" w14:textId="77777777" w:rsidR="00000000" w:rsidRDefault="00AA47AD">
            <w:pPr>
              <w:pStyle w:val="Predeterminado"/>
              <w:jc w:val="center"/>
            </w:pPr>
            <w:r>
              <w:rPr>
                <w:b/>
                <w:lang w:val="es-AR"/>
              </w:rPr>
              <w:t>Cargo</w:t>
            </w:r>
            <w:r>
              <w:rPr>
                <w:sz w:val="22"/>
                <w:lang w:val="es-AR"/>
              </w:rPr>
              <w:t xml:space="preserve"> </w:t>
            </w:r>
          </w:p>
          <w:p w14:paraId="108EF36C" w14:textId="77777777" w:rsidR="00000000" w:rsidRDefault="00AA47AD">
            <w:pPr>
              <w:pStyle w:val="Predeterminado"/>
              <w:jc w:val="center"/>
            </w:pPr>
            <w:r>
              <w:rPr>
                <w:sz w:val="22"/>
                <w:lang w:val="es-AR"/>
              </w:rPr>
              <w:t>-</w:t>
            </w:r>
          </w:p>
        </w:tc>
        <w:tc>
          <w:tcPr>
            <w:tcW w:w="1754" w:type="dxa"/>
            <w:tcBorders>
              <w:top w:val="double" w:sz="6" w:space="0" w:color="C0C0C0"/>
              <w:left w:val="double" w:sz="6" w:space="0" w:color="C0C0C0"/>
              <w:bottom w:val="double" w:sz="6" w:space="0" w:color="C0C0C0"/>
              <w:right w:val="double" w:sz="6" w:space="0" w:color="C0C0C0"/>
            </w:tcBorders>
          </w:tcPr>
          <w:p w14:paraId="571D3E8A" w14:textId="77777777" w:rsidR="00000000" w:rsidRDefault="00AA47AD">
            <w:pPr>
              <w:pStyle w:val="Predeterminado"/>
              <w:jc w:val="center"/>
            </w:pPr>
            <w:r>
              <w:rPr>
                <w:b/>
                <w:lang w:val="es-AR"/>
              </w:rPr>
              <w:t>Dedicación</w:t>
            </w:r>
          </w:p>
          <w:p w14:paraId="17F518D7" w14:textId="77777777" w:rsidR="00000000" w:rsidRDefault="00AA47AD">
            <w:pPr>
              <w:pStyle w:val="Predeterminado"/>
              <w:jc w:val="center"/>
            </w:pPr>
            <w:r>
              <w:rPr>
                <w:lang w:val="es-AR"/>
              </w:rPr>
              <w:t>-</w:t>
            </w:r>
          </w:p>
          <w:p w14:paraId="30C6A861" w14:textId="77777777" w:rsidR="00000000" w:rsidRDefault="00AA47AD">
            <w:pPr>
              <w:pStyle w:val="Predeterminado"/>
              <w:jc w:val="center"/>
            </w:pPr>
          </w:p>
        </w:tc>
      </w:tr>
    </w:tbl>
    <w:p w14:paraId="4F5576DD" w14:textId="77777777" w:rsidR="00000000" w:rsidRDefault="00AA47AD">
      <w:pPr>
        <w:pStyle w:val="Predeterminado"/>
        <w:jc w:val="both"/>
      </w:pPr>
    </w:p>
    <w:p w14:paraId="1CBDE27D" w14:textId="77777777" w:rsidR="00000000" w:rsidRDefault="00AA47AD">
      <w:pPr>
        <w:pStyle w:val="Predeterminado"/>
        <w:pageBreakBefore/>
        <w:jc w:val="both"/>
      </w:pPr>
    </w:p>
    <w:tbl>
      <w:tblPr>
        <w:tblW w:w="0" w:type="auto"/>
        <w:tblInd w:w="-85" w:type="dxa"/>
        <w:tblLayout w:type="fixed"/>
        <w:tblLook w:val="0000" w:firstRow="0" w:lastRow="0" w:firstColumn="0" w:lastColumn="0" w:noHBand="0" w:noVBand="0"/>
      </w:tblPr>
      <w:tblGrid>
        <w:gridCol w:w="4665"/>
        <w:gridCol w:w="1956"/>
        <w:gridCol w:w="1673"/>
        <w:gridCol w:w="1754"/>
      </w:tblGrid>
      <w:tr w:rsidR="00000000" w:rsidRPr="00AA47AD" w14:paraId="51BB1BAE" w14:textId="77777777">
        <w:trPr>
          <w:trHeight w:val="255"/>
        </w:trPr>
        <w:tc>
          <w:tcPr>
            <w:tcW w:w="4665" w:type="dxa"/>
            <w:tcBorders>
              <w:top w:val="double" w:sz="6" w:space="0" w:color="C0C0C0"/>
              <w:left w:val="double" w:sz="6" w:space="0" w:color="C0C0C0"/>
              <w:bottom w:val="double" w:sz="6" w:space="0" w:color="C0C0C0"/>
              <w:right w:val="nil"/>
            </w:tcBorders>
          </w:tcPr>
          <w:p w14:paraId="3BA6A5F5" w14:textId="77777777" w:rsidR="00000000" w:rsidRDefault="00AA47AD">
            <w:pPr>
              <w:pStyle w:val="Predeterminado"/>
            </w:pPr>
            <w:r>
              <w:rPr>
                <w:b/>
                <w:lang w:val="es-AR"/>
              </w:rPr>
              <w:t>Función:</w:t>
            </w:r>
          </w:p>
        </w:tc>
        <w:tc>
          <w:tcPr>
            <w:tcW w:w="5383" w:type="dxa"/>
            <w:gridSpan w:val="3"/>
            <w:tcBorders>
              <w:top w:val="double" w:sz="6" w:space="0" w:color="C0C0C0"/>
              <w:left w:val="double" w:sz="6" w:space="0" w:color="C0C0C0"/>
              <w:bottom w:val="double" w:sz="6" w:space="0" w:color="C0C0C0"/>
              <w:right w:val="double" w:sz="6" w:space="0" w:color="C0C0C0"/>
            </w:tcBorders>
          </w:tcPr>
          <w:p w14:paraId="03398BF6" w14:textId="77777777" w:rsidR="00000000" w:rsidRDefault="00AA47AD">
            <w:pPr>
              <w:pStyle w:val="Predeterminado"/>
            </w:pPr>
            <w:r>
              <w:rPr>
                <w:sz w:val="22"/>
                <w:lang w:val="es-AR"/>
              </w:rPr>
              <w:t>Investigador del grupo responsable</w:t>
            </w:r>
          </w:p>
        </w:tc>
      </w:tr>
      <w:tr w:rsidR="00000000" w:rsidRPr="00AA47AD" w14:paraId="4EC94327" w14:textId="77777777">
        <w:trPr>
          <w:trHeight w:val="255"/>
        </w:trPr>
        <w:tc>
          <w:tcPr>
            <w:tcW w:w="4665" w:type="dxa"/>
            <w:tcBorders>
              <w:top w:val="double" w:sz="6" w:space="0" w:color="C0C0C0"/>
              <w:left w:val="double" w:sz="6" w:space="0" w:color="C0C0C0"/>
              <w:bottom w:val="double" w:sz="6" w:space="0" w:color="C0C0C0"/>
              <w:right w:val="nil"/>
            </w:tcBorders>
          </w:tcPr>
          <w:p w14:paraId="1221CEB6" w14:textId="77777777" w:rsidR="00000000" w:rsidRDefault="00AA47AD">
            <w:pPr>
              <w:pStyle w:val="Predeterminado"/>
            </w:pPr>
            <w:r>
              <w:rPr>
                <w:b/>
                <w:lang w:val="es-AR"/>
              </w:rPr>
              <w:t>Apellido y Nombre:</w:t>
            </w:r>
          </w:p>
        </w:tc>
        <w:tc>
          <w:tcPr>
            <w:tcW w:w="5383" w:type="dxa"/>
            <w:gridSpan w:val="3"/>
            <w:tcBorders>
              <w:top w:val="double" w:sz="6" w:space="0" w:color="C0C0C0"/>
              <w:left w:val="double" w:sz="6" w:space="0" w:color="C0C0C0"/>
              <w:bottom w:val="double" w:sz="6" w:space="0" w:color="C0C0C0"/>
              <w:right w:val="double" w:sz="6" w:space="0" w:color="C0C0C0"/>
            </w:tcBorders>
          </w:tcPr>
          <w:p w14:paraId="3603E732" w14:textId="77777777" w:rsidR="00000000" w:rsidRDefault="00AA47AD">
            <w:pPr>
              <w:pStyle w:val="Predeterminado"/>
            </w:pPr>
            <w:r>
              <w:rPr>
                <w:sz w:val="22"/>
                <w:lang w:val="es-AR"/>
              </w:rPr>
              <w:t>Sterle, Helena</w:t>
            </w:r>
          </w:p>
        </w:tc>
      </w:tr>
      <w:tr w:rsidR="00000000" w:rsidRPr="00AA47AD" w14:paraId="68DFF306" w14:textId="77777777">
        <w:trPr>
          <w:trHeight w:val="255"/>
        </w:trPr>
        <w:tc>
          <w:tcPr>
            <w:tcW w:w="4665" w:type="dxa"/>
            <w:tcBorders>
              <w:top w:val="double" w:sz="6" w:space="0" w:color="C0C0C0"/>
              <w:left w:val="double" w:sz="6" w:space="0" w:color="C0C0C0"/>
              <w:bottom w:val="double" w:sz="6" w:space="0" w:color="C0C0C0"/>
              <w:right w:val="nil"/>
            </w:tcBorders>
          </w:tcPr>
          <w:p w14:paraId="1A220EC7" w14:textId="77777777" w:rsidR="00000000" w:rsidRDefault="00AA47AD">
            <w:pPr>
              <w:pStyle w:val="Predeterminado"/>
            </w:pPr>
            <w:r>
              <w:rPr>
                <w:b/>
                <w:lang w:val="es-AR"/>
              </w:rPr>
              <w:t>E -mail:</w:t>
            </w:r>
          </w:p>
        </w:tc>
        <w:tc>
          <w:tcPr>
            <w:tcW w:w="5383" w:type="dxa"/>
            <w:gridSpan w:val="3"/>
            <w:tcBorders>
              <w:top w:val="double" w:sz="6" w:space="0" w:color="C0C0C0"/>
              <w:left w:val="double" w:sz="6" w:space="0" w:color="C0C0C0"/>
              <w:bottom w:val="double" w:sz="6" w:space="0" w:color="C0C0C0"/>
              <w:right w:val="double" w:sz="6" w:space="0" w:color="C0C0C0"/>
            </w:tcBorders>
          </w:tcPr>
          <w:p w14:paraId="279DB971" w14:textId="77777777" w:rsidR="00000000" w:rsidRDefault="00AA47AD">
            <w:pPr>
              <w:pStyle w:val="Predeterminado"/>
            </w:pPr>
            <w:r>
              <w:rPr>
                <w:sz w:val="22"/>
                <w:lang w:val="es-AR"/>
              </w:rPr>
              <w:t>sterlehelena@gmail.com</w:t>
            </w:r>
          </w:p>
        </w:tc>
      </w:tr>
      <w:tr w:rsidR="00000000" w:rsidRPr="00AA47AD" w14:paraId="7599E3A6" w14:textId="77777777">
        <w:trPr>
          <w:trHeight w:val="255"/>
        </w:trPr>
        <w:tc>
          <w:tcPr>
            <w:tcW w:w="4665" w:type="dxa"/>
            <w:tcBorders>
              <w:top w:val="double" w:sz="6" w:space="0" w:color="C0C0C0"/>
              <w:left w:val="double" w:sz="6" w:space="0" w:color="C0C0C0"/>
              <w:bottom w:val="double" w:sz="6" w:space="0" w:color="C0C0C0"/>
              <w:right w:val="nil"/>
            </w:tcBorders>
          </w:tcPr>
          <w:p w14:paraId="727B1840" w14:textId="77777777" w:rsidR="00000000" w:rsidRDefault="00AA47AD">
            <w:pPr>
              <w:pStyle w:val="Predeterminado"/>
            </w:pPr>
            <w:r>
              <w:rPr>
                <w:b/>
                <w:lang w:val="es-AR"/>
              </w:rPr>
              <w:t>Título de Grado:</w:t>
            </w:r>
          </w:p>
        </w:tc>
        <w:tc>
          <w:tcPr>
            <w:tcW w:w="5383" w:type="dxa"/>
            <w:gridSpan w:val="3"/>
            <w:tcBorders>
              <w:top w:val="double" w:sz="6" w:space="0" w:color="C0C0C0"/>
              <w:left w:val="double" w:sz="6" w:space="0" w:color="C0C0C0"/>
              <w:bottom w:val="double" w:sz="6" w:space="0" w:color="C0C0C0"/>
              <w:right w:val="double" w:sz="6" w:space="0" w:color="C0C0C0"/>
            </w:tcBorders>
          </w:tcPr>
          <w:p w14:paraId="775E3EBE" w14:textId="77777777" w:rsidR="00000000" w:rsidRDefault="00AA47AD">
            <w:pPr>
              <w:pStyle w:val="Predeterminado"/>
            </w:pPr>
            <w:r>
              <w:rPr>
                <w:sz w:val="22"/>
                <w:lang w:val="es-AR"/>
              </w:rPr>
              <w:t>Licenciada en Ciencias Biológicas</w:t>
            </w:r>
          </w:p>
        </w:tc>
      </w:tr>
      <w:tr w:rsidR="00000000" w:rsidRPr="00AA47AD" w14:paraId="36F886E1" w14:textId="77777777">
        <w:trPr>
          <w:trHeight w:val="255"/>
        </w:trPr>
        <w:tc>
          <w:tcPr>
            <w:tcW w:w="4665" w:type="dxa"/>
            <w:tcBorders>
              <w:top w:val="double" w:sz="6" w:space="0" w:color="C0C0C0"/>
              <w:left w:val="double" w:sz="6" w:space="0" w:color="C0C0C0"/>
              <w:bottom w:val="double" w:sz="6" w:space="0" w:color="C0C0C0"/>
              <w:right w:val="nil"/>
            </w:tcBorders>
          </w:tcPr>
          <w:p w14:paraId="2BBF5569" w14:textId="77777777" w:rsidR="00000000" w:rsidRDefault="00AA47AD">
            <w:pPr>
              <w:pStyle w:val="Predeterminado"/>
            </w:pPr>
            <w:r>
              <w:rPr>
                <w:b/>
                <w:lang w:val="es-AR"/>
              </w:rPr>
              <w:t>Máximo Título Obtenido:</w:t>
            </w:r>
          </w:p>
        </w:tc>
        <w:tc>
          <w:tcPr>
            <w:tcW w:w="5383" w:type="dxa"/>
            <w:gridSpan w:val="3"/>
            <w:tcBorders>
              <w:top w:val="double" w:sz="6" w:space="0" w:color="C0C0C0"/>
              <w:left w:val="double" w:sz="6" w:space="0" w:color="C0C0C0"/>
              <w:bottom w:val="double" w:sz="6" w:space="0" w:color="C0C0C0"/>
              <w:right w:val="double" w:sz="6" w:space="0" w:color="C0C0C0"/>
            </w:tcBorders>
          </w:tcPr>
          <w:p w14:paraId="663C6B98" w14:textId="77777777" w:rsidR="00000000" w:rsidRDefault="00AA47AD">
            <w:pPr>
              <w:pStyle w:val="Predeterminado"/>
            </w:pPr>
            <w:r>
              <w:rPr>
                <w:sz w:val="22"/>
                <w:lang w:val="es-AR"/>
              </w:rPr>
              <w:t>Doctora de la UBA, área Química Biológica</w:t>
            </w:r>
          </w:p>
        </w:tc>
      </w:tr>
      <w:tr w:rsidR="00000000" w:rsidRPr="00AA47AD" w14:paraId="7990F657" w14:textId="77777777">
        <w:trPr>
          <w:trHeight w:val="255"/>
        </w:trPr>
        <w:tc>
          <w:tcPr>
            <w:tcW w:w="4665" w:type="dxa"/>
            <w:tcBorders>
              <w:top w:val="double" w:sz="6" w:space="0" w:color="C0C0C0"/>
              <w:left w:val="double" w:sz="6" w:space="0" w:color="C0C0C0"/>
              <w:bottom w:val="double" w:sz="6" w:space="0" w:color="C0C0C0"/>
              <w:right w:val="nil"/>
            </w:tcBorders>
          </w:tcPr>
          <w:p w14:paraId="775B2559" w14:textId="77777777" w:rsidR="00000000" w:rsidRDefault="00AA47AD">
            <w:pPr>
              <w:pStyle w:val="Predeterminado"/>
            </w:pPr>
            <w:r>
              <w:rPr>
                <w:b/>
                <w:lang w:val="es-AR"/>
              </w:rPr>
              <w:t>Cargo Docente:</w:t>
            </w:r>
          </w:p>
        </w:tc>
        <w:tc>
          <w:tcPr>
            <w:tcW w:w="5383" w:type="dxa"/>
            <w:gridSpan w:val="3"/>
            <w:tcBorders>
              <w:top w:val="double" w:sz="6" w:space="0" w:color="C0C0C0"/>
              <w:left w:val="double" w:sz="6" w:space="0" w:color="C0C0C0"/>
              <w:bottom w:val="double" w:sz="6" w:space="0" w:color="C0C0C0"/>
              <w:right w:val="double" w:sz="6" w:space="0" w:color="C0C0C0"/>
            </w:tcBorders>
          </w:tcPr>
          <w:p w14:paraId="7EB4CFB3" w14:textId="77777777" w:rsidR="00000000" w:rsidRDefault="00AA47AD">
            <w:pPr>
              <w:pStyle w:val="Predeterminado"/>
            </w:pPr>
          </w:p>
        </w:tc>
      </w:tr>
      <w:tr w:rsidR="00000000" w:rsidRPr="00AA47AD" w14:paraId="283A9779" w14:textId="77777777">
        <w:trPr>
          <w:trHeight w:val="377"/>
        </w:trPr>
        <w:tc>
          <w:tcPr>
            <w:tcW w:w="4665" w:type="dxa"/>
            <w:tcBorders>
              <w:top w:val="double" w:sz="6" w:space="0" w:color="C0C0C0"/>
              <w:left w:val="double" w:sz="6" w:space="0" w:color="C0C0C0"/>
              <w:bottom w:val="double" w:sz="6" w:space="0" w:color="C0C0C0"/>
              <w:right w:val="nil"/>
            </w:tcBorders>
          </w:tcPr>
          <w:p w14:paraId="49477299" w14:textId="77777777" w:rsidR="00000000" w:rsidRDefault="00AA47AD">
            <w:pPr>
              <w:pStyle w:val="Predeterminado"/>
              <w:spacing w:after="120"/>
            </w:pPr>
            <w:r>
              <w:rPr>
                <w:b/>
                <w:lang w:val="es-AR"/>
              </w:rPr>
              <w:t>Si reviste como investigador en otra Institució</w:t>
            </w:r>
            <w:r>
              <w:rPr>
                <w:b/>
                <w:lang w:val="es-AR"/>
              </w:rPr>
              <w:t xml:space="preserve">n (Ej.: CONICET, etc.), consignar: </w:t>
            </w:r>
          </w:p>
        </w:tc>
        <w:tc>
          <w:tcPr>
            <w:tcW w:w="1956" w:type="dxa"/>
            <w:tcBorders>
              <w:top w:val="double" w:sz="6" w:space="0" w:color="C0C0C0"/>
              <w:left w:val="double" w:sz="6" w:space="0" w:color="C0C0C0"/>
              <w:bottom w:val="double" w:sz="6" w:space="0" w:color="C0C0C0"/>
              <w:right w:val="nil"/>
            </w:tcBorders>
          </w:tcPr>
          <w:p w14:paraId="55042F52" w14:textId="77777777" w:rsidR="00000000" w:rsidRDefault="00AA47AD">
            <w:pPr>
              <w:pStyle w:val="Predeterminado"/>
              <w:jc w:val="center"/>
            </w:pPr>
            <w:r>
              <w:rPr>
                <w:b/>
                <w:lang w:val="es-AR"/>
              </w:rPr>
              <w:t>Institución</w:t>
            </w:r>
          </w:p>
          <w:p w14:paraId="1C985188" w14:textId="77777777" w:rsidR="00000000" w:rsidRDefault="00AA47AD">
            <w:pPr>
              <w:pStyle w:val="Predeterminado"/>
              <w:jc w:val="center"/>
            </w:pPr>
            <w:r>
              <w:rPr>
                <w:sz w:val="22"/>
                <w:lang w:val="es-AR"/>
              </w:rPr>
              <w:t xml:space="preserve">CONICET </w:t>
            </w:r>
          </w:p>
        </w:tc>
        <w:tc>
          <w:tcPr>
            <w:tcW w:w="1673" w:type="dxa"/>
            <w:tcBorders>
              <w:top w:val="double" w:sz="6" w:space="0" w:color="C0C0C0"/>
              <w:left w:val="double" w:sz="6" w:space="0" w:color="C0C0C0"/>
              <w:bottom w:val="double" w:sz="6" w:space="0" w:color="C0C0C0"/>
              <w:right w:val="nil"/>
            </w:tcBorders>
          </w:tcPr>
          <w:p w14:paraId="1A7C81BC" w14:textId="77777777" w:rsidR="00000000" w:rsidRDefault="00AA47AD">
            <w:pPr>
              <w:pStyle w:val="Predeterminado"/>
              <w:jc w:val="center"/>
            </w:pPr>
            <w:r>
              <w:rPr>
                <w:b/>
                <w:lang w:val="es-AR"/>
              </w:rPr>
              <w:t>Cargo</w:t>
            </w:r>
            <w:r>
              <w:rPr>
                <w:sz w:val="22"/>
                <w:lang w:val="es-AR"/>
              </w:rPr>
              <w:t xml:space="preserve"> </w:t>
            </w:r>
          </w:p>
          <w:p w14:paraId="3589CD08" w14:textId="77777777" w:rsidR="00000000" w:rsidRDefault="00AA47AD">
            <w:pPr>
              <w:pStyle w:val="Predeterminado"/>
              <w:jc w:val="center"/>
            </w:pPr>
            <w:r>
              <w:rPr>
                <w:sz w:val="22"/>
                <w:lang w:val="es-AR"/>
              </w:rPr>
              <w:t>Becaria posdoctoral</w:t>
            </w:r>
          </w:p>
        </w:tc>
        <w:tc>
          <w:tcPr>
            <w:tcW w:w="1754" w:type="dxa"/>
            <w:tcBorders>
              <w:top w:val="double" w:sz="6" w:space="0" w:color="C0C0C0"/>
              <w:left w:val="double" w:sz="6" w:space="0" w:color="C0C0C0"/>
              <w:bottom w:val="double" w:sz="6" w:space="0" w:color="C0C0C0"/>
              <w:right w:val="double" w:sz="6" w:space="0" w:color="C0C0C0"/>
            </w:tcBorders>
          </w:tcPr>
          <w:p w14:paraId="028B8D8B" w14:textId="77777777" w:rsidR="00000000" w:rsidRDefault="00AA47AD">
            <w:pPr>
              <w:pStyle w:val="Predeterminado"/>
              <w:jc w:val="center"/>
            </w:pPr>
            <w:r>
              <w:rPr>
                <w:b/>
                <w:lang w:val="es-AR"/>
              </w:rPr>
              <w:t>Dedicación</w:t>
            </w:r>
          </w:p>
          <w:p w14:paraId="3EC1B49C" w14:textId="77777777" w:rsidR="00000000" w:rsidRDefault="00AA47AD">
            <w:pPr>
              <w:pStyle w:val="Predeterminado"/>
              <w:jc w:val="center"/>
            </w:pPr>
            <w:r>
              <w:rPr>
                <w:lang w:val="es-AR"/>
              </w:rPr>
              <w:t>Exclusiva</w:t>
            </w:r>
          </w:p>
        </w:tc>
      </w:tr>
    </w:tbl>
    <w:p w14:paraId="6AD1BC6B" w14:textId="77777777" w:rsidR="00000000" w:rsidRDefault="00AA47AD">
      <w:pPr>
        <w:pStyle w:val="Predeterminado"/>
        <w:jc w:val="both"/>
      </w:pPr>
    </w:p>
    <w:p w14:paraId="0B364F4F" w14:textId="77777777" w:rsidR="00000000" w:rsidRDefault="00AA47AD">
      <w:pPr>
        <w:pStyle w:val="Predeterminado"/>
        <w:jc w:val="both"/>
      </w:pPr>
    </w:p>
    <w:tbl>
      <w:tblPr>
        <w:tblW w:w="0" w:type="auto"/>
        <w:tblInd w:w="-85" w:type="dxa"/>
        <w:tblLayout w:type="fixed"/>
        <w:tblLook w:val="0000" w:firstRow="0" w:lastRow="0" w:firstColumn="0" w:lastColumn="0" w:noHBand="0" w:noVBand="0"/>
      </w:tblPr>
      <w:tblGrid>
        <w:gridCol w:w="4665"/>
        <w:gridCol w:w="1956"/>
        <w:gridCol w:w="1673"/>
        <w:gridCol w:w="1754"/>
      </w:tblGrid>
      <w:tr w:rsidR="00000000" w:rsidRPr="00AA47AD" w14:paraId="61F57123" w14:textId="77777777">
        <w:trPr>
          <w:trHeight w:val="255"/>
        </w:trPr>
        <w:tc>
          <w:tcPr>
            <w:tcW w:w="4665" w:type="dxa"/>
            <w:tcBorders>
              <w:top w:val="double" w:sz="6" w:space="0" w:color="C0C0C0"/>
              <w:left w:val="double" w:sz="6" w:space="0" w:color="C0C0C0"/>
              <w:bottom w:val="double" w:sz="6" w:space="0" w:color="C0C0C0"/>
              <w:right w:val="nil"/>
            </w:tcBorders>
          </w:tcPr>
          <w:p w14:paraId="3D8D35AF" w14:textId="77777777" w:rsidR="00000000" w:rsidRDefault="00AA47AD">
            <w:pPr>
              <w:pStyle w:val="Predeterminado"/>
            </w:pPr>
            <w:r>
              <w:rPr>
                <w:b/>
                <w:lang w:val="es-AR"/>
              </w:rPr>
              <w:t>Función:</w:t>
            </w:r>
          </w:p>
        </w:tc>
        <w:tc>
          <w:tcPr>
            <w:tcW w:w="5383" w:type="dxa"/>
            <w:gridSpan w:val="3"/>
            <w:tcBorders>
              <w:top w:val="double" w:sz="6" w:space="0" w:color="C0C0C0"/>
              <w:left w:val="double" w:sz="6" w:space="0" w:color="C0C0C0"/>
              <w:bottom w:val="double" w:sz="6" w:space="0" w:color="C0C0C0"/>
              <w:right w:val="double" w:sz="6" w:space="0" w:color="C0C0C0"/>
            </w:tcBorders>
          </w:tcPr>
          <w:p w14:paraId="6D5145F3" w14:textId="77777777" w:rsidR="00000000" w:rsidRDefault="00AA47AD">
            <w:pPr>
              <w:pStyle w:val="Predeterminado"/>
            </w:pPr>
            <w:r>
              <w:rPr>
                <w:sz w:val="22"/>
                <w:lang w:val="es-AR"/>
              </w:rPr>
              <w:t>Codirectora</w:t>
            </w:r>
          </w:p>
        </w:tc>
      </w:tr>
      <w:tr w:rsidR="00000000" w:rsidRPr="00AA47AD" w14:paraId="39F4EAE9" w14:textId="77777777">
        <w:trPr>
          <w:trHeight w:val="255"/>
        </w:trPr>
        <w:tc>
          <w:tcPr>
            <w:tcW w:w="4665" w:type="dxa"/>
            <w:tcBorders>
              <w:top w:val="double" w:sz="6" w:space="0" w:color="C0C0C0"/>
              <w:left w:val="double" w:sz="6" w:space="0" w:color="C0C0C0"/>
              <w:bottom w:val="double" w:sz="6" w:space="0" w:color="C0C0C0"/>
              <w:right w:val="nil"/>
            </w:tcBorders>
          </w:tcPr>
          <w:p w14:paraId="20024148" w14:textId="77777777" w:rsidR="00000000" w:rsidRDefault="00AA47AD">
            <w:pPr>
              <w:pStyle w:val="Predeterminado"/>
            </w:pPr>
            <w:r>
              <w:rPr>
                <w:b/>
                <w:lang w:val="es-AR"/>
              </w:rPr>
              <w:t>Apellido y Nombre:</w:t>
            </w:r>
          </w:p>
        </w:tc>
        <w:tc>
          <w:tcPr>
            <w:tcW w:w="5383" w:type="dxa"/>
            <w:gridSpan w:val="3"/>
            <w:tcBorders>
              <w:top w:val="double" w:sz="6" w:space="0" w:color="C0C0C0"/>
              <w:left w:val="double" w:sz="6" w:space="0" w:color="C0C0C0"/>
              <w:bottom w:val="double" w:sz="6" w:space="0" w:color="C0C0C0"/>
              <w:right w:val="double" w:sz="6" w:space="0" w:color="C0C0C0"/>
            </w:tcBorders>
          </w:tcPr>
          <w:p w14:paraId="118F1A69" w14:textId="77777777" w:rsidR="00000000" w:rsidRDefault="00AA47AD">
            <w:pPr>
              <w:pStyle w:val="Predeterminado"/>
            </w:pPr>
            <w:r>
              <w:rPr>
                <w:sz w:val="22"/>
                <w:lang w:val="es-AR"/>
              </w:rPr>
              <w:t>Cremaschi, Graciela</w:t>
            </w:r>
          </w:p>
        </w:tc>
      </w:tr>
      <w:tr w:rsidR="00000000" w:rsidRPr="00AA47AD" w14:paraId="4B3DB4D9" w14:textId="77777777">
        <w:trPr>
          <w:trHeight w:val="255"/>
        </w:trPr>
        <w:tc>
          <w:tcPr>
            <w:tcW w:w="4665" w:type="dxa"/>
            <w:tcBorders>
              <w:top w:val="double" w:sz="6" w:space="0" w:color="C0C0C0"/>
              <w:left w:val="double" w:sz="6" w:space="0" w:color="C0C0C0"/>
              <w:bottom w:val="double" w:sz="6" w:space="0" w:color="C0C0C0"/>
              <w:right w:val="nil"/>
            </w:tcBorders>
          </w:tcPr>
          <w:p w14:paraId="03E4D267" w14:textId="77777777" w:rsidR="00000000" w:rsidRDefault="00AA47AD">
            <w:pPr>
              <w:pStyle w:val="Predeterminado"/>
            </w:pPr>
            <w:r>
              <w:rPr>
                <w:b/>
                <w:lang w:val="es-AR"/>
              </w:rPr>
              <w:t>E -mail:</w:t>
            </w:r>
          </w:p>
        </w:tc>
        <w:tc>
          <w:tcPr>
            <w:tcW w:w="5383" w:type="dxa"/>
            <w:gridSpan w:val="3"/>
            <w:tcBorders>
              <w:top w:val="double" w:sz="6" w:space="0" w:color="C0C0C0"/>
              <w:left w:val="double" w:sz="6" w:space="0" w:color="C0C0C0"/>
              <w:bottom w:val="double" w:sz="6" w:space="0" w:color="C0C0C0"/>
              <w:right w:val="double" w:sz="6" w:space="0" w:color="C0C0C0"/>
            </w:tcBorders>
          </w:tcPr>
          <w:p w14:paraId="7C686027" w14:textId="77777777" w:rsidR="00000000" w:rsidRDefault="00AA47AD">
            <w:pPr>
              <w:pStyle w:val="Predeterminado"/>
            </w:pPr>
            <w:r>
              <w:rPr>
                <w:sz w:val="22"/>
                <w:lang w:val="es-AR"/>
              </w:rPr>
              <w:t>graciela_cremaschi@uca.edu.ar</w:t>
            </w:r>
          </w:p>
        </w:tc>
      </w:tr>
      <w:tr w:rsidR="00000000" w:rsidRPr="00AA47AD" w14:paraId="55B653ED" w14:textId="77777777">
        <w:trPr>
          <w:trHeight w:val="255"/>
        </w:trPr>
        <w:tc>
          <w:tcPr>
            <w:tcW w:w="4665" w:type="dxa"/>
            <w:tcBorders>
              <w:top w:val="double" w:sz="6" w:space="0" w:color="C0C0C0"/>
              <w:left w:val="double" w:sz="6" w:space="0" w:color="C0C0C0"/>
              <w:bottom w:val="double" w:sz="6" w:space="0" w:color="C0C0C0"/>
              <w:right w:val="nil"/>
            </w:tcBorders>
          </w:tcPr>
          <w:p w14:paraId="194FCC44" w14:textId="77777777" w:rsidR="00000000" w:rsidRDefault="00AA47AD">
            <w:pPr>
              <w:pStyle w:val="Predeterminado"/>
            </w:pPr>
            <w:r>
              <w:rPr>
                <w:b/>
                <w:lang w:val="es-AR"/>
              </w:rPr>
              <w:t>Título de Grado:</w:t>
            </w:r>
          </w:p>
        </w:tc>
        <w:tc>
          <w:tcPr>
            <w:tcW w:w="5383" w:type="dxa"/>
            <w:gridSpan w:val="3"/>
            <w:tcBorders>
              <w:top w:val="double" w:sz="6" w:space="0" w:color="C0C0C0"/>
              <w:left w:val="double" w:sz="6" w:space="0" w:color="C0C0C0"/>
              <w:bottom w:val="double" w:sz="6" w:space="0" w:color="C0C0C0"/>
              <w:right w:val="double" w:sz="6" w:space="0" w:color="C0C0C0"/>
            </w:tcBorders>
          </w:tcPr>
          <w:p w14:paraId="255C019B" w14:textId="77777777" w:rsidR="00000000" w:rsidRDefault="00AA47AD">
            <w:pPr>
              <w:pStyle w:val="Predeterminado"/>
            </w:pPr>
            <w:r>
              <w:rPr>
                <w:sz w:val="22"/>
                <w:lang w:val="es-AR"/>
              </w:rPr>
              <w:t>Bioquí</w:t>
            </w:r>
            <w:r>
              <w:rPr>
                <w:sz w:val="22"/>
                <w:lang w:val="es-AR"/>
              </w:rPr>
              <w:t>mica y Licenciada en Análisis Clínicos</w:t>
            </w:r>
          </w:p>
        </w:tc>
      </w:tr>
      <w:tr w:rsidR="00000000" w:rsidRPr="00AA47AD" w14:paraId="0F32F244" w14:textId="77777777">
        <w:trPr>
          <w:trHeight w:val="255"/>
        </w:trPr>
        <w:tc>
          <w:tcPr>
            <w:tcW w:w="4665" w:type="dxa"/>
            <w:tcBorders>
              <w:top w:val="double" w:sz="6" w:space="0" w:color="C0C0C0"/>
              <w:left w:val="double" w:sz="6" w:space="0" w:color="C0C0C0"/>
              <w:bottom w:val="double" w:sz="6" w:space="0" w:color="C0C0C0"/>
              <w:right w:val="nil"/>
            </w:tcBorders>
          </w:tcPr>
          <w:p w14:paraId="4EBE82EA" w14:textId="77777777" w:rsidR="00000000" w:rsidRDefault="00AA47AD">
            <w:pPr>
              <w:pStyle w:val="Predeterminado"/>
            </w:pPr>
            <w:r>
              <w:rPr>
                <w:b/>
                <w:lang w:val="es-AR"/>
              </w:rPr>
              <w:t>Máximo Título Obtenido:</w:t>
            </w:r>
          </w:p>
        </w:tc>
        <w:tc>
          <w:tcPr>
            <w:tcW w:w="5383" w:type="dxa"/>
            <w:gridSpan w:val="3"/>
            <w:tcBorders>
              <w:top w:val="double" w:sz="6" w:space="0" w:color="C0C0C0"/>
              <w:left w:val="double" w:sz="6" w:space="0" w:color="C0C0C0"/>
              <w:bottom w:val="double" w:sz="6" w:space="0" w:color="C0C0C0"/>
              <w:right w:val="double" w:sz="6" w:space="0" w:color="C0C0C0"/>
            </w:tcBorders>
          </w:tcPr>
          <w:p w14:paraId="7DB12059" w14:textId="77777777" w:rsidR="00000000" w:rsidRDefault="00AA47AD">
            <w:pPr>
              <w:pStyle w:val="Predeterminado"/>
            </w:pPr>
            <w:r>
              <w:rPr>
                <w:sz w:val="22"/>
                <w:lang w:val="es-AR"/>
              </w:rPr>
              <w:t>Doctor en Bioquimica</w:t>
            </w:r>
          </w:p>
        </w:tc>
      </w:tr>
      <w:tr w:rsidR="00000000" w:rsidRPr="00AA47AD" w14:paraId="32410C80" w14:textId="77777777">
        <w:trPr>
          <w:trHeight w:val="255"/>
        </w:trPr>
        <w:tc>
          <w:tcPr>
            <w:tcW w:w="4665" w:type="dxa"/>
            <w:tcBorders>
              <w:top w:val="double" w:sz="6" w:space="0" w:color="C0C0C0"/>
              <w:left w:val="double" w:sz="6" w:space="0" w:color="C0C0C0"/>
              <w:bottom w:val="double" w:sz="6" w:space="0" w:color="C0C0C0"/>
              <w:right w:val="nil"/>
            </w:tcBorders>
          </w:tcPr>
          <w:p w14:paraId="3084DEF7" w14:textId="77777777" w:rsidR="00000000" w:rsidRDefault="00AA47AD">
            <w:pPr>
              <w:pStyle w:val="Predeterminado"/>
            </w:pPr>
            <w:r>
              <w:rPr>
                <w:b/>
                <w:lang w:val="es-AR"/>
              </w:rPr>
              <w:t>Cargo Docente:</w:t>
            </w:r>
          </w:p>
        </w:tc>
        <w:tc>
          <w:tcPr>
            <w:tcW w:w="5383" w:type="dxa"/>
            <w:gridSpan w:val="3"/>
            <w:tcBorders>
              <w:top w:val="double" w:sz="6" w:space="0" w:color="C0C0C0"/>
              <w:left w:val="double" w:sz="6" w:space="0" w:color="C0C0C0"/>
              <w:bottom w:val="double" w:sz="6" w:space="0" w:color="C0C0C0"/>
              <w:right w:val="double" w:sz="6" w:space="0" w:color="C0C0C0"/>
            </w:tcBorders>
          </w:tcPr>
          <w:p w14:paraId="746A6F69" w14:textId="77777777" w:rsidR="00000000" w:rsidRDefault="00AA47AD">
            <w:pPr>
              <w:pStyle w:val="Predeterminado"/>
            </w:pPr>
          </w:p>
        </w:tc>
      </w:tr>
      <w:tr w:rsidR="00000000" w:rsidRPr="00AA47AD" w14:paraId="1B4F36DE" w14:textId="77777777">
        <w:trPr>
          <w:trHeight w:val="377"/>
        </w:trPr>
        <w:tc>
          <w:tcPr>
            <w:tcW w:w="4665" w:type="dxa"/>
            <w:tcBorders>
              <w:top w:val="double" w:sz="6" w:space="0" w:color="C0C0C0"/>
              <w:left w:val="double" w:sz="6" w:space="0" w:color="C0C0C0"/>
              <w:bottom w:val="double" w:sz="6" w:space="0" w:color="C0C0C0"/>
              <w:right w:val="nil"/>
            </w:tcBorders>
          </w:tcPr>
          <w:p w14:paraId="04895FFF" w14:textId="77777777" w:rsidR="00000000" w:rsidRDefault="00AA47AD">
            <w:pPr>
              <w:pStyle w:val="Predeterminado"/>
              <w:spacing w:after="120"/>
            </w:pPr>
            <w:r>
              <w:rPr>
                <w:b/>
                <w:lang w:val="es-AR"/>
              </w:rPr>
              <w:t xml:space="preserve">Si reviste como investigador en otra Institución (Ej.: CONICET, etc.), consignar: </w:t>
            </w:r>
          </w:p>
        </w:tc>
        <w:tc>
          <w:tcPr>
            <w:tcW w:w="1956" w:type="dxa"/>
            <w:tcBorders>
              <w:top w:val="double" w:sz="6" w:space="0" w:color="C0C0C0"/>
              <w:left w:val="double" w:sz="6" w:space="0" w:color="C0C0C0"/>
              <w:bottom w:val="double" w:sz="6" w:space="0" w:color="C0C0C0"/>
              <w:right w:val="nil"/>
            </w:tcBorders>
          </w:tcPr>
          <w:p w14:paraId="253476C8" w14:textId="77777777" w:rsidR="00000000" w:rsidRDefault="00AA47AD">
            <w:pPr>
              <w:pStyle w:val="Predeterminado"/>
              <w:jc w:val="center"/>
            </w:pPr>
            <w:r>
              <w:rPr>
                <w:b/>
                <w:lang w:val="es-AR"/>
              </w:rPr>
              <w:t>Institución</w:t>
            </w:r>
          </w:p>
          <w:p w14:paraId="68BD9286" w14:textId="77777777" w:rsidR="00000000" w:rsidRDefault="00AA47AD">
            <w:pPr>
              <w:pStyle w:val="Predeterminado"/>
              <w:jc w:val="center"/>
            </w:pPr>
            <w:r>
              <w:rPr>
                <w:sz w:val="22"/>
                <w:lang w:val="es-AR"/>
              </w:rPr>
              <w:t>UCA BIOMED</w:t>
            </w:r>
          </w:p>
          <w:p w14:paraId="4BAAFD8A" w14:textId="77777777" w:rsidR="00000000" w:rsidRDefault="00AA47AD">
            <w:pPr>
              <w:pStyle w:val="Predeterminado"/>
              <w:jc w:val="center"/>
            </w:pPr>
            <w:r>
              <w:rPr>
                <w:sz w:val="22"/>
                <w:lang w:val="es-AR"/>
              </w:rPr>
              <w:t xml:space="preserve">CONICET </w:t>
            </w:r>
          </w:p>
        </w:tc>
        <w:tc>
          <w:tcPr>
            <w:tcW w:w="1673" w:type="dxa"/>
            <w:tcBorders>
              <w:top w:val="double" w:sz="6" w:space="0" w:color="C0C0C0"/>
              <w:left w:val="double" w:sz="6" w:space="0" w:color="C0C0C0"/>
              <w:bottom w:val="double" w:sz="6" w:space="0" w:color="C0C0C0"/>
              <w:right w:val="nil"/>
            </w:tcBorders>
          </w:tcPr>
          <w:p w14:paraId="79CD6F52" w14:textId="77777777" w:rsidR="00000000" w:rsidRDefault="00AA47AD">
            <w:pPr>
              <w:pStyle w:val="Predeterminado"/>
              <w:jc w:val="center"/>
            </w:pPr>
            <w:r>
              <w:rPr>
                <w:b/>
                <w:lang w:val="es-AR"/>
              </w:rPr>
              <w:t>Cargo</w:t>
            </w:r>
            <w:r>
              <w:rPr>
                <w:sz w:val="22"/>
                <w:lang w:val="es-AR"/>
              </w:rPr>
              <w:t xml:space="preserve"> </w:t>
            </w:r>
          </w:p>
          <w:p w14:paraId="593494F9" w14:textId="77777777" w:rsidR="00000000" w:rsidRDefault="00AA47AD">
            <w:pPr>
              <w:pStyle w:val="Predeterminado"/>
              <w:jc w:val="center"/>
            </w:pPr>
            <w:r>
              <w:rPr>
                <w:sz w:val="22"/>
                <w:lang w:val="es-AR"/>
              </w:rPr>
              <w:t>Investigadora Superior</w:t>
            </w:r>
          </w:p>
        </w:tc>
        <w:tc>
          <w:tcPr>
            <w:tcW w:w="1754" w:type="dxa"/>
            <w:tcBorders>
              <w:top w:val="double" w:sz="6" w:space="0" w:color="C0C0C0"/>
              <w:left w:val="double" w:sz="6" w:space="0" w:color="C0C0C0"/>
              <w:bottom w:val="double" w:sz="6" w:space="0" w:color="C0C0C0"/>
              <w:right w:val="double" w:sz="6" w:space="0" w:color="C0C0C0"/>
            </w:tcBorders>
          </w:tcPr>
          <w:p w14:paraId="5143FBC8" w14:textId="77777777" w:rsidR="00000000" w:rsidRDefault="00AA47AD">
            <w:pPr>
              <w:pStyle w:val="Predeterminado"/>
              <w:jc w:val="center"/>
            </w:pPr>
            <w:r>
              <w:rPr>
                <w:b/>
                <w:lang w:val="es-AR"/>
              </w:rPr>
              <w:t>Dedicaci</w:t>
            </w:r>
            <w:r>
              <w:rPr>
                <w:b/>
                <w:lang w:val="es-AR"/>
              </w:rPr>
              <w:t>ón</w:t>
            </w:r>
          </w:p>
          <w:p w14:paraId="381F1401" w14:textId="77777777" w:rsidR="00000000" w:rsidRDefault="00AA47AD">
            <w:pPr>
              <w:pStyle w:val="Predeterminado"/>
              <w:jc w:val="center"/>
            </w:pPr>
            <w:r>
              <w:rPr>
                <w:lang w:val="es-AR"/>
              </w:rPr>
              <w:t>Exclusiva</w:t>
            </w:r>
          </w:p>
        </w:tc>
      </w:tr>
    </w:tbl>
    <w:p w14:paraId="48F8A795" w14:textId="77777777" w:rsidR="00000000" w:rsidRDefault="00AA47AD">
      <w:pPr>
        <w:pStyle w:val="Predeterminado"/>
        <w:jc w:val="both"/>
      </w:pPr>
    </w:p>
    <w:p w14:paraId="0641DD2B" w14:textId="77777777" w:rsidR="00000000" w:rsidRDefault="00AA47AD">
      <w:pPr>
        <w:pStyle w:val="Predeterminado"/>
        <w:pageBreakBefore/>
        <w:jc w:val="both"/>
      </w:pPr>
    </w:p>
    <w:p w14:paraId="27CE6C86" w14:textId="77777777" w:rsidR="00000000" w:rsidRDefault="00AA47AD">
      <w:pPr>
        <w:pStyle w:val="Predeterminado"/>
        <w:jc w:val="both"/>
      </w:pPr>
      <w:r>
        <w:rPr>
          <w:lang w:val="es-AR"/>
        </w:rPr>
        <w:t>5.1.2 Por la UBA</w:t>
      </w:r>
    </w:p>
    <w:p w14:paraId="35262978" w14:textId="77777777" w:rsidR="00000000" w:rsidRDefault="00AA47AD">
      <w:pPr>
        <w:pStyle w:val="Predeterminado"/>
        <w:jc w:val="both"/>
      </w:pPr>
    </w:p>
    <w:tbl>
      <w:tblPr>
        <w:tblW w:w="0" w:type="auto"/>
        <w:tblInd w:w="-85" w:type="dxa"/>
        <w:tblLayout w:type="fixed"/>
        <w:tblLook w:val="0000" w:firstRow="0" w:lastRow="0" w:firstColumn="0" w:lastColumn="0" w:noHBand="0" w:noVBand="0"/>
      </w:tblPr>
      <w:tblGrid>
        <w:gridCol w:w="4665"/>
        <w:gridCol w:w="1956"/>
        <w:gridCol w:w="1673"/>
        <w:gridCol w:w="1754"/>
      </w:tblGrid>
      <w:tr w:rsidR="00000000" w:rsidRPr="00AA47AD" w14:paraId="4A96955C" w14:textId="77777777">
        <w:trPr>
          <w:trHeight w:val="255"/>
        </w:trPr>
        <w:tc>
          <w:tcPr>
            <w:tcW w:w="4665" w:type="dxa"/>
            <w:tcBorders>
              <w:top w:val="double" w:sz="6" w:space="0" w:color="C0C0C0"/>
              <w:left w:val="double" w:sz="6" w:space="0" w:color="C0C0C0"/>
              <w:bottom w:val="double" w:sz="6" w:space="0" w:color="C0C0C0"/>
              <w:right w:val="nil"/>
            </w:tcBorders>
          </w:tcPr>
          <w:p w14:paraId="1411C3CD" w14:textId="77777777" w:rsidR="00000000" w:rsidRDefault="00AA47AD">
            <w:pPr>
              <w:pStyle w:val="Predeterminado"/>
            </w:pPr>
            <w:r>
              <w:rPr>
                <w:b/>
                <w:lang w:val="es-AR"/>
              </w:rPr>
              <w:t>Función:</w:t>
            </w:r>
          </w:p>
        </w:tc>
        <w:tc>
          <w:tcPr>
            <w:tcW w:w="5383" w:type="dxa"/>
            <w:gridSpan w:val="3"/>
            <w:tcBorders>
              <w:top w:val="double" w:sz="6" w:space="0" w:color="C0C0C0"/>
              <w:left w:val="double" w:sz="6" w:space="0" w:color="C0C0C0"/>
              <w:bottom w:val="double" w:sz="6" w:space="0" w:color="C0C0C0"/>
              <w:right w:val="double" w:sz="6" w:space="0" w:color="C0C0C0"/>
            </w:tcBorders>
          </w:tcPr>
          <w:p w14:paraId="089155D6" w14:textId="77777777" w:rsidR="00000000" w:rsidRDefault="00AA47AD">
            <w:pPr>
              <w:pStyle w:val="Predeterminado"/>
            </w:pPr>
            <w:r>
              <w:rPr>
                <w:sz w:val="22"/>
                <w:lang w:val="es-AR"/>
              </w:rPr>
              <w:t>Directora</w:t>
            </w:r>
          </w:p>
        </w:tc>
      </w:tr>
      <w:tr w:rsidR="00000000" w:rsidRPr="00AA47AD" w14:paraId="370FBD13" w14:textId="77777777">
        <w:trPr>
          <w:trHeight w:val="255"/>
        </w:trPr>
        <w:tc>
          <w:tcPr>
            <w:tcW w:w="4665" w:type="dxa"/>
            <w:tcBorders>
              <w:top w:val="double" w:sz="6" w:space="0" w:color="C0C0C0"/>
              <w:left w:val="double" w:sz="6" w:space="0" w:color="C0C0C0"/>
              <w:bottom w:val="double" w:sz="6" w:space="0" w:color="C0C0C0"/>
              <w:right w:val="nil"/>
            </w:tcBorders>
          </w:tcPr>
          <w:p w14:paraId="0DECC11E" w14:textId="77777777" w:rsidR="00000000" w:rsidRDefault="00AA47AD">
            <w:pPr>
              <w:pStyle w:val="Predeterminado"/>
            </w:pPr>
            <w:r>
              <w:rPr>
                <w:b/>
                <w:lang w:val="es-AR"/>
              </w:rPr>
              <w:t>Apellido y Nombre:</w:t>
            </w:r>
          </w:p>
        </w:tc>
        <w:tc>
          <w:tcPr>
            <w:tcW w:w="5383" w:type="dxa"/>
            <w:gridSpan w:val="3"/>
            <w:tcBorders>
              <w:top w:val="double" w:sz="6" w:space="0" w:color="C0C0C0"/>
              <w:left w:val="double" w:sz="6" w:space="0" w:color="C0C0C0"/>
              <w:bottom w:val="double" w:sz="6" w:space="0" w:color="C0C0C0"/>
              <w:right w:val="double" w:sz="6" w:space="0" w:color="C0C0C0"/>
            </w:tcBorders>
          </w:tcPr>
          <w:p w14:paraId="4EB95571" w14:textId="77777777" w:rsidR="00000000" w:rsidRDefault="00AA47AD">
            <w:pPr>
              <w:pStyle w:val="Predeterminado"/>
            </w:pPr>
            <w:r>
              <w:rPr>
                <w:sz w:val="22"/>
                <w:lang w:val="es-AR"/>
              </w:rPr>
              <w:t>Ciancia, Marina</w:t>
            </w:r>
          </w:p>
        </w:tc>
      </w:tr>
      <w:tr w:rsidR="00000000" w:rsidRPr="00AA47AD" w14:paraId="2971E10A" w14:textId="77777777">
        <w:trPr>
          <w:trHeight w:val="255"/>
        </w:trPr>
        <w:tc>
          <w:tcPr>
            <w:tcW w:w="4665" w:type="dxa"/>
            <w:tcBorders>
              <w:top w:val="double" w:sz="6" w:space="0" w:color="C0C0C0"/>
              <w:left w:val="double" w:sz="6" w:space="0" w:color="C0C0C0"/>
              <w:bottom w:val="double" w:sz="6" w:space="0" w:color="C0C0C0"/>
              <w:right w:val="nil"/>
            </w:tcBorders>
          </w:tcPr>
          <w:p w14:paraId="71D54064" w14:textId="77777777" w:rsidR="00000000" w:rsidRDefault="00AA47AD">
            <w:pPr>
              <w:pStyle w:val="Predeterminado"/>
            </w:pPr>
            <w:r>
              <w:rPr>
                <w:b/>
                <w:lang w:val="es-AR"/>
              </w:rPr>
              <w:t>E -mail:</w:t>
            </w:r>
          </w:p>
        </w:tc>
        <w:tc>
          <w:tcPr>
            <w:tcW w:w="5383" w:type="dxa"/>
            <w:gridSpan w:val="3"/>
            <w:tcBorders>
              <w:top w:val="double" w:sz="6" w:space="0" w:color="C0C0C0"/>
              <w:left w:val="double" w:sz="6" w:space="0" w:color="C0C0C0"/>
              <w:bottom w:val="double" w:sz="6" w:space="0" w:color="C0C0C0"/>
              <w:right w:val="double" w:sz="6" w:space="0" w:color="C0C0C0"/>
            </w:tcBorders>
          </w:tcPr>
          <w:p w14:paraId="1D1428E7" w14:textId="77777777" w:rsidR="00000000" w:rsidRDefault="00AA47AD">
            <w:pPr>
              <w:pStyle w:val="Predeterminado"/>
            </w:pPr>
            <w:r>
              <w:rPr>
                <w:sz w:val="22"/>
                <w:lang w:val="es-AR"/>
              </w:rPr>
              <w:t>ciancia@agro.uba.ar</w:t>
            </w:r>
          </w:p>
        </w:tc>
      </w:tr>
      <w:tr w:rsidR="00000000" w:rsidRPr="00AA47AD" w14:paraId="51E45741" w14:textId="77777777">
        <w:trPr>
          <w:trHeight w:val="255"/>
        </w:trPr>
        <w:tc>
          <w:tcPr>
            <w:tcW w:w="4665" w:type="dxa"/>
            <w:tcBorders>
              <w:top w:val="double" w:sz="6" w:space="0" w:color="C0C0C0"/>
              <w:left w:val="double" w:sz="6" w:space="0" w:color="C0C0C0"/>
              <w:bottom w:val="double" w:sz="6" w:space="0" w:color="C0C0C0"/>
              <w:right w:val="nil"/>
            </w:tcBorders>
          </w:tcPr>
          <w:p w14:paraId="10D2FC2D" w14:textId="77777777" w:rsidR="00000000" w:rsidRDefault="00AA47AD">
            <w:pPr>
              <w:pStyle w:val="Predeterminado"/>
            </w:pPr>
            <w:r>
              <w:rPr>
                <w:b/>
                <w:lang w:val="es-AR"/>
              </w:rPr>
              <w:t>Título de Grado:</w:t>
            </w:r>
          </w:p>
        </w:tc>
        <w:tc>
          <w:tcPr>
            <w:tcW w:w="5383" w:type="dxa"/>
            <w:gridSpan w:val="3"/>
            <w:tcBorders>
              <w:top w:val="double" w:sz="6" w:space="0" w:color="C0C0C0"/>
              <w:left w:val="double" w:sz="6" w:space="0" w:color="C0C0C0"/>
              <w:bottom w:val="double" w:sz="6" w:space="0" w:color="C0C0C0"/>
              <w:right w:val="double" w:sz="6" w:space="0" w:color="C0C0C0"/>
            </w:tcBorders>
          </w:tcPr>
          <w:p w14:paraId="0920FF07" w14:textId="77777777" w:rsidR="00000000" w:rsidRDefault="00AA47AD">
            <w:pPr>
              <w:pStyle w:val="Predeterminado"/>
            </w:pPr>
            <w:r>
              <w:rPr>
                <w:sz w:val="22"/>
                <w:lang w:val="es-AR"/>
              </w:rPr>
              <w:t>Licenciada en Ciencias Químicas (UBA)</w:t>
            </w:r>
          </w:p>
        </w:tc>
      </w:tr>
      <w:tr w:rsidR="00000000" w:rsidRPr="00AA47AD" w14:paraId="3050E2DD" w14:textId="77777777">
        <w:trPr>
          <w:trHeight w:val="255"/>
        </w:trPr>
        <w:tc>
          <w:tcPr>
            <w:tcW w:w="4665" w:type="dxa"/>
            <w:tcBorders>
              <w:top w:val="double" w:sz="6" w:space="0" w:color="C0C0C0"/>
              <w:left w:val="double" w:sz="6" w:space="0" w:color="C0C0C0"/>
              <w:bottom w:val="double" w:sz="6" w:space="0" w:color="C0C0C0"/>
              <w:right w:val="nil"/>
            </w:tcBorders>
          </w:tcPr>
          <w:p w14:paraId="3FF43CCB" w14:textId="77777777" w:rsidR="00000000" w:rsidRDefault="00AA47AD">
            <w:pPr>
              <w:pStyle w:val="Predeterminado"/>
            </w:pPr>
            <w:r>
              <w:rPr>
                <w:b/>
                <w:lang w:val="es-AR"/>
              </w:rPr>
              <w:t>Máximo Título Obtenido:</w:t>
            </w:r>
          </w:p>
        </w:tc>
        <w:tc>
          <w:tcPr>
            <w:tcW w:w="5383" w:type="dxa"/>
            <w:gridSpan w:val="3"/>
            <w:tcBorders>
              <w:top w:val="double" w:sz="6" w:space="0" w:color="C0C0C0"/>
              <w:left w:val="double" w:sz="6" w:space="0" w:color="C0C0C0"/>
              <w:bottom w:val="double" w:sz="6" w:space="0" w:color="C0C0C0"/>
              <w:right w:val="double" w:sz="6" w:space="0" w:color="C0C0C0"/>
            </w:tcBorders>
          </w:tcPr>
          <w:p w14:paraId="17CD0BF8" w14:textId="77777777" w:rsidR="00000000" w:rsidRDefault="00AA47AD">
            <w:pPr>
              <w:pStyle w:val="Predeterminado"/>
            </w:pPr>
            <w:r>
              <w:rPr>
                <w:sz w:val="22"/>
                <w:lang w:val="es-AR"/>
              </w:rPr>
              <w:t>Doctora de la UBA, Area Cs. Químicas</w:t>
            </w:r>
          </w:p>
        </w:tc>
      </w:tr>
      <w:tr w:rsidR="00000000" w:rsidRPr="00AA47AD" w14:paraId="2D73EB7C" w14:textId="77777777">
        <w:trPr>
          <w:trHeight w:val="255"/>
        </w:trPr>
        <w:tc>
          <w:tcPr>
            <w:tcW w:w="4665" w:type="dxa"/>
            <w:tcBorders>
              <w:top w:val="double" w:sz="6" w:space="0" w:color="C0C0C0"/>
              <w:left w:val="double" w:sz="6" w:space="0" w:color="C0C0C0"/>
              <w:bottom w:val="double" w:sz="6" w:space="0" w:color="C0C0C0"/>
              <w:right w:val="nil"/>
            </w:tcBorders>
          </w:tcPr>
          <w:p w14:paraId="2A1C13D9" w14:textId="77777777" w:rsidR="00000000" w:rsidRDefault="00AA47AD">
            <w:pPr>
              <w:pStyle w:val="Predeterminado"/>
            </w:pPr>
            <w:r>
              <w:rPr>
                <w:b/>
                <w:lang w:val="es-AR"/>
              </w:rPr>
              <w:t>Cargo Docente:</w:t>
            </w:r>
          </w:p>
        </w:tc>
        <w:tc>
          <w:tcPr>
            <w:tcW w:w="5383" w:type="dxa"/>
            <w:gridSpan w:val="3"/>
            <w:tcBorders>
              <w:top w:val="double" w:sz="6" w:space="0" w:color="C0C0C0"/>
              <w:left w:val="double" w:sz="6" w:space="0" w:color="C0C0C0"/>
              <w:bottom w:val="double" w:sz="6" w:space="0" w:color="C0C0C0"/>
              <w:right w:val="double" w:sz="6" w:space="0" w:color="C0C0C0"/>
            </w:tcBorders>
          </w:tcPr>
          <w:p w14:paraId="12324453" w14:textId="77777777" w:rsidR="00000000" w:rsidRDefault="00AA47AD">
            <w:pPr>
              <w:pStyle w:val="Predeterminado"/>
            </w:pPr>
            <w:r>
              <w:rPr>
                <w:sz w:val="22"/>
                <w:lang w:val="es-AR"/>
              </w:rPr>
              <w:t>Profesora Asociada (FAUBA</w:t>
            </w:r>
          </w:p>
        </w:tc>
      </w:tr>
      <w:tr w:rsidR="00000000" w:rsidRPr="00AA47AD" w14:paraId="6FF8192D" w14:textId="77777777">
        <w:trPr>
          <w:trHeight w:val="377"/>
        </w:trPr>
        <w:tc>
          <w:tcPr>
            <w:tcW w:w="4665" w:type="dxa"/>
            <w:tcBorders>
              <w:top w:val="double" w:sz="6" w:space="0" w:color="C0C0C0"/>
              <w:left w:val="double" w:sz="6" w:space="0" w:color="C0C0C0"/>
              <w:bottom w:val="double" w:sz="6" w:space="0" w:color="C0C0C0"/>
              <w:right w:val="nil"/>
            </w:tcBorders>
          </w:tcPr>
          <w:p w14:paraId="531DCAE3" w14:textId="77777777" w:rsidR="00000000" w:rsidRDefault="00AA47AD">
            <w:pPr>
              <w:pStyle w:val="Predeterminado"/>
              <w:spacing w:after="120"/>
            </w:pPr>
            <w:r>
              <w:rPr>
                <w:b/>
                <w:lang w:val="es-AR"/>
              </w:rPr>
              <w:t xml:space="preserve">Si reviste como investigador en otra Institución (Ej.: CONICET, etc.), consignar: </w:t>
            </w:r>
          </w:p>
        </w:tc>
        <w:tc>
          <w:tcPr>
            <w:tcW w:w="1956" w:type="dxa"/>
            <w:tcBorders>
              <w:top w:val="double" w:sz="6" w:space="0" w:color="C0C0C0"/>
              <w:left w:val="double" w:sz="6" w:space="0" w:color="C0C0C0"/>
              <w:bottom w:val="double" w:sz="6" w:space="0" w:color="C0C0C0"/>
              <w:right w:val="nil"/>
            </w:tcBorders>
          </w:tcPr>
          <w:p w14:paraId="38FD544F" w14:textId="77777777" w:rsidR="00000000" w:rsidRDefault="00AA47AD">
            <w:pPr>
              <w:pStyle w:val="Predeterminado"/>
              <w:jc w:val="center"/>
            </w:pPr>
            <w:r>
              <w:rPr>
                <w:b/>
                <w:lang w:val="es-AR"/>
              </w:rPr>
              <w:t>Institución</w:t>
            </w:r>
          </w:p>
          <w:p w14:paraId="69983F7A" w14:textId="77777777" w:rsidR="00000000" w:rsidRDefault="00AA47AD">
            <w:pPr>
              <w:pStyle w:val="Predeterminado"/>
              <w:jc w:val="center"/>
            </w:pPr>
            <w:r>
              <w:rPr>
                <w:sz w:val="22"/>
                <w:lang w:val="es-AR"/>
              </w:rPr>
              <w:t xml:space="preserve">CONICET </w:t>
            </w:r>
          </w:p>
        </w:tc>
        <w:tc>
          <w:tcPr>
            <w:tcW w:w="1673" w:type="dxa"/>
            <w:tcBorders>
              <w:top w:val="double" w:sz="6" w:space="0" w:color="C0C0C0"/>
              <w:left w:val="double" w:sz="6" w:space="0" w:color="C0C0C0"/>
              <w:bottom w:val="double" w:sz="6" w:space="0" w:color="C0C0C0"/>
              <w:right w:val="nil"/>
            </w:tcBorders>
          </w:tcPr>
          <w:p w14:paraId="10C810ED" w14:textId="77777777" w:rsidR="00000000" w:rsidRDefault="00AA47AD">
            <w:pPr>
              <w:pStyle w:val="Predeterminado"/>
              <w:jc w:val="center"/>
            </w:pPr>
            <w:r>
              <w:rPr>
                <w:b/>
                <w:lang w:val="es-AR"/>
              </w:rPr>
              <w:t>Cargo</w:t>
            </w:r>
            <w:r>
              <w:rPr>
                <w:sz w:val="22"/>
                <w:lang w:val="es-AR"/>
              </w:rPr>
              <w:t xml:space="preserve"> </w:t>
            </w:r>
          </w:p>
          <w:p w14:paraId="663E1343" w14:textId="77777777" w:rsidR="00000000" w:rsidRDefault="00AA47AD">
            <w:pPr>
              <w:pStyle w:val="Predeterminado"/>
              <w:jc w:val="center"/>
            </w:pPr>
            <w:r>
              <w:rPr>
                <w:sz w:val="22"/>
                <w:lang w:val="es-AR"/>
              </w:rPr>
              <w:t>Investigadora Independiente</w:t>
            </w:r>
          </w:p>
        </w:tc>
        <w:tc>
          <w:tcPr>
            <w:tcW w:w="1754" w:type="dxa"/>
            <w:tcBorders>
              <w:top w:val="double" w:sz="6" w:space="0" w:color="C0C0C0"/>
              <w:left w:val="double" w:sz="6" w:space="0" w:color="C0C0C0"/>
              <w:bottom w:val="double" w:sz="6" w:space="0" w:color="C0C0C0"/>
              <w:right w:val="double" w:sz="6" w:space="0" w:color="C0C0C0"/>
            </w:tcBorders>
          </w:tcPr>
          <w:p w14:paraId="7675CFE5" w14:textId="77777777" w:rsidR="00000000" w:rsidRDefault="00AA47AD">
            <w:pPr>
              <w:pStyle w:val="Predeterminado"/>
              <w:jc w:val="center"/>
            </w:pPr>
            <w:r>
              <w:rPr>
                <w:b/>
                <w:lang w:val="es-AR"/>
              </w:rPr>
              <w:t>Dedicación</w:t>
            </w:r>
          </w:p>
          <w:p w14:paraId="20B58D3D" w14:textId="77777777" w:rsidR="00000000" w:rsidRDefault="00AA47AD">
            <w:pPr>
              <w:pStyle w:val="Predeterminado"/>
              <w:jc w:val="center"/>
            </w:pPr>
            <w:r>
              <w:rPr>
                <w:lang w:val="es-AR"/>
              </w:rPr>
              <w:t>Exclusiva</w:t>
            </w:r>
          </w:p>
        </w:tc>
      </w:tr>
    </w:tbl>
    <w:p w14:paraId="1BEAC025" w14:textId="77777777" w:rsidR="00000000" w:rsidRDefault="00AA47AD">
      <w:pPr>
        <w:pStyle w:val="Predeterminado"/>
        <w:jc w:val="both"/>
      </w:pPr>
    </w:p>
    <w:p w14:paraId="17DA1B65" w14:textId="77777777" w:rsidR="00000000" w:rsidRDefault="00AA47AD">
      <w:pPr>
        <w:pStyle w:val="Predeterminado"/>
        <w:jc w:val="both"/>
      </w:pPr>
    </w:p>
    <w:tbl>
      <w:tblPr>
        <w:tblW w:w="0" w:type="auto"/>
        <w:tblInd w:w="70" w:type="dxa"/>
        <w:tblLayout w:type="fixed"/>
        <w:tblCellMar>
          <w:left w:w="70" w:type="dxa"/>
          <w:right w:w="70" w:type="dxa"/>
        </w:tblCellMar>
        <w:tblLook w:val="0000" w:firstRow="0" w:lastRow="0" w:firstColumn="0" w:lastColumn="0" w:noHBand="0" w:noVBand="0"/>
      </w:tblPr>
      <w:tblGrid>
        <w:gridCol w:w="9644"/>
      </w:tblGrid>
      <w:tr w:rsidR="00000000" w:rsidRPr="00AA47AD" w14:paraId="7A0B60D6" w14:textId="77777777">
        <w:trPr>
          <w:trHeight w:val="95"/>
        </w:trPr>
        <w:tc>
          <w:tcPr>
            <w:tcW w:w="9644" w:type="dxa"/>
            <w:tcBorders>
              <w:top w:val="single" w:sz="2" w:space="0" w:color="000000"/>
              <w:left w:val="single" w:sz="2" w:space="0" w:color="000000"/>
              <w:bottom w:val="single" w:sz="2" w:space="0" w:color="000000"/>
              <w:right w:val="single" w:sz="2" w:space="0" w:color="000000"/>
            </w:tcBorders>
            <w:shd w:val="clear" w:color="auto" w:fill="003366"/>
          </w:tcPr>
          <w:p w14:paraId="25599DE7" w14:textId="77777777" w:rsidR="00000000" w:rsidRDefault="00AA47AD">
            <w:pPr>
              <w:pStyle w:val="Predeterminado"/>
              <w:jc w:val="both"/>
            </w:pPr>
            <w:r>
              <w:rPr>
                <w:b/>
                <w:lang w:val="es-AR"/>
              </w:rPr>
              <w:t>6.  ALUMNOS COLABORADORES</w:t>
            </w:r>
          </w:p>
        </w:tc>
      </w:tr>
    </w:tbl>
    <w:p w14:paraId="218EDB3E" w14:textId="77777777" w:rsidR="00000000" w:rsidRDefault="00AA47AD">
      <w:pPr>
        <w:pStyle w:val="Predeterminado"/>
        <w:jc w:val="both"/>
      </w:pPr>
    </w:p>
    <w:p w14:paraId="007DA9C7" w14:textId="77777777" w:rsidR="00000000" w:rsidRDefault="00AA47AD">
      <w:pPr>
        <w:pStyle w:val="Predeterminado"/>
        <w:jc w:val="both"/>
      </w:pPr>
      <w:r>
        <w:rPr>
          <w:b/>
          <w:lang w:val="es-AR"/>
        </w:rPr>
        <w:t xml:space="preserve">6.1 Por la UCA </w:t>
      </w:r>
    </w:p>
    <w:p w14:paraId="6FE6D902" w14:textId="77777777" w:rsidR="00000000" w:rsidRDefault="00AA47AD">
      <w:pPr>
        <w:pStyle w:val="Predeterminado"/>
        <w:jc w:val="both"/>
      </w:pPr>
    </w:p>
    <w:p w14:paraId="062017E5" w14:textId="77777777" w:rsidR="00AA47AD" w:rsidRDefault="00AA47AD">
      <w:pPr>
        <w:pStyle w:val="Predeterminado"/>
        <w:jc w:val="both"/>
      </w:pPr>
      <w:r>
        <w:rPr>
          <w:sz w:val="22"/>
          <w:lang w:val="es-AR"/>
        </w:rPr>
        <w:t>Se prevee la incorporación de dos alumnos a este proyecto.</w:t>
      </w:r>
    </w:p>
    <w:sectPr w:rsidR="00AA47AD">
      <w:headerReference w:type="default" r:id="rId17"/>
      <w:footerReference w:type="default" r:id="rId18"/>
      <w:type w:val="continuous"/>
      <w:pgSz w:w="11906" w:h="16838"/>
      <w:pgMar w:top="1124" w:right="420" w:bottom="1549" w:left="420" w:header="710" w:footer="710" w:gutter="0"/>
      <w:cols w:space="720"/>
      <w:formProt w:val="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783668" w14:textId="77777777" w:rsidR="00AA47AD" w:rsidRDefault="00AA47AD">
      <w:pPr>
        <w:spacing w:after="0" w:line="240" w:lineRule="auto"/>
      </w:pPr>
      <w:r>
        <w:separator/>
      </w:r>
    </w:p>
  </w:endnote>
  <w:endnote w:type="continuationSeparator" w:id="0">
    <w:p w14:paraId="5584B45D" w14:textId="77777777" w:rsidR="00AA47AD" w:rsidRDefault="00AA47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MS ??"/>
    <w:panose1 w:val="02020609040205080304"/>
    <w:charset w:val="80"/>
    <w:family w:val="modern"/>
    <w:pitch w:val="fixed"/>
    <w:sig w:usb0="E00002FF" w:usb1="6AC7FDFB" w:usb2="08000012" w:usb3="00000000" w:csb0="0002009F" w:csb1="00000000"/>
  </w:font>
  <w:font w:name="Helvetica Neue">
    <w:altName w:val="Arial"/>
    <w:panose1 w:val="00000000000000000000"/>
    <w:charset w:val="00"/>
    <w:family w:val="swiss"/>
    <w:notTrueType/>
    <w:pitch w:val="variable"/>
    <w:sig w:usb0="00000003" w:usb1="00000000" w:usb2="00000000" w:usb3="00000000" w:csb0="00000001" w:csb1="00000000"/>
  </w:font>
  <w:font w:name="AdvOT596495f2">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10733A" w14:textId="77777777" w:rsidR="00000000" w:rsidRDefault="00AA47AD">
    <w:pPr>
      <w:pStyle w:val="Piedepina"/>
      <w:jc w:val="center"/>
    </w:pPr>
    <w:r>
      <w:rPr>
        <w:rStyle w:val="Nerodepina"/>
      </w:rPr>
      <w:fldChar w:fldCharType="begin"/>
    </w:r>
    <w:r>
      <w:rPr>
        <w:rStyle w:val="Nerodepina"/>
      </w:rPr>
      <w:instrText xml:space="preserve"> PAGE </w:instrText>
    </w:r>
    <w:r>
      <w:rPr>
        <w:rStyle w:val="Nerodepina"/>
      </w:rPr>
      <w:fldChar w:fldCharType="separate"/>
    </w:r>
    <w:r>
      <w:rPr>
        <w:rStyle w:val="Nerodepina"/>
      </w:rPr>
      <w:t>20</w:t>
    </w:r>
    <w:r>
      <w:rPr>
        <w:rStyle w:val="Nerodepina"/>
      </w:rPr>
      <w:fldChar w:fldCharType="end"/>
    </w:r>
    <w:r>
      <w:rPr>
        <w:rStyle w:val="Nerodepina"/>
      </w:rPr>
      <w:t>-</w:t>
    </w:r>
    <w:r>
      <w:rPr>
        <w:rStyle w:val="Nerodepina"/>
      </w:rPr>
      <w:fldChar w:fldCharType="begin"/>
    </w:r>
    <w:r>
      <w:rPr>
        <w:rStyle w:val="Nerodepina"/>
      </w:rPr>
      <w:instrText xml:space="preserve"> NUMPAGES \*Arabic </w:instrText>
    </w:r>
    <w:r>
      <w:rPr>
        <w:rStyle w:val="Nerodepina"/>
      </w:rPr>
      <w:fldChar w:fldCharType="separate"/>
    </w:r>
    <w:r>
      <w:rPr>
        <w:rStyle w:val="Nerodepina"/>
      </w:rPr>
      <w:t>20</w:t>
    </w:r>
    <w:r>
      <w:rPr>
        <w:rStyle w:val="Nerodepina"/>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FCDC15" w14:textId="77777777" w:rsidR="00AA47AD" w:rsidRDefault="00AA47AD">
      <w:pPr>
        <w:spacing w:after="0" w:line="240" w:lineRule="auto"/>
      </w:pPr>
      <w:r>
        <w:separator/>
      </w:r>
    </w:p>
  </w:footnote>
  <w:footnote w:type="continuationSeparator" w:id="0">
    <w:p w14:paraId="703DD867" w14:textId="77777777" w:rsidR="00AA47AD" w:rsidRDefault="00AA47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84D53" w14:textId="77777777" w:rsidR="00000000" w:rsidRDefault="00AA47AD">
    <w:pPr>
      <w:pStyle w:val="Encabezamiento"/>
    </w:pPr>
    <w:r>
      <w:rPr>
        <w:lang w:val="es-ES"/>
      </w:rPr>
      <w:pict w14:anchorId="6822C3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 o:spid="_x0000_i1026" type="#_x0000_t75" alt="" style="width:130.5pt;height:121.5pt">
          <v:imagedata r:id="rId1" o:titl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decimal"/>
      <w:lvlText w:val=""/>
      <w:lvlJc w:val="left"/>
      <w:pPr>
        <w:ind w:left="432" w:hanging="432"/>
      </w:pPr>
    </w:lvl>
    <w:lvl w:ilvl="1">
      <w:start w:val="1"/>
      <w:numFmt w:val="decimal"/>
      <w:lvlText w:val=""/>
      <w:lvlJc w:val="left"/>
      <w:pPr>
        <w:ind w:left="576" w:hanging="576"/>
      </w:pPr>
    </w:lvl>
    <w:lvl w:ilvl="2">
      <w:start w:val="1"/>
      <w:numFmt w:val="decimal"/>
      <w:lvlText w:val=""/>
      <w:lvlJc w:val="left"/>
      <w:pPr>
        <w:ind w:left="720" w:hanging="720"/>
      </w:pPr>
    </w:lvl>
    <w:lvl w:ilvl="3">
      <w:start w:val="1"/>
      <w:numFmt w:val="decimal"/>
      <w:lvlText w:val=""/>
      <w:lvlJc w:val="left"/>
      <w:pPr>
        <w:ind w:left="864" w:hanging="864"/>
      </w:pPr>
    </w:lvl>
    <w:lvl w:ilvl="4">
      <w:start w:val="1"/>
      <w:numFmt w:val="decimal"/>
      <w:lvlText w:val=""/>
      <w:lvlJc w:val="left"/>
      <w:pPr>
        <w:ind w:left="1008" w:hanging="1008"/>
      </w:pPr>
    </w:lvl>
    <w:lvl w:ilvl="5">
      <w:start w:val="1"/>
      <w:numFmt w:val="decimal"/>
      <w:lvlText w:val=""/>
      <w:lvlJc w:val="left"/>
      <w:pPr>
        <w:ind w:left="1152" w:hanging="1152"/>
      </w:pPr>
    </w:lvl>
    <w:lvl w:ilvl="6">
      <w:start w:val="1"/>
      <w:numFmt w:val="decimal"/>
      <w:lvlText w:val=""/>
      <w:lvlJc w:val="left"/>
      <w:pPr>
        <w:ind w:left="1296" w:hanging="1296"/>
      </w:pPr>
    </w:lvl>
    <w:lvl w:ilvl="7">
      <w:start w:val="1"/>
      <w:numFmt w:val="decimal"/>
      <w:lvlText w:val=""/>
      <w:lvlJc w:val="left"/>
      <w:pPr>
        <w:ind w:left="1440" w:hanging="1440"/>
      </w:pPr>
    </w:lvl>
    <w:lvl w:ilvl="8">
      <w:start w:val="1"/>
      <w:numFmt w:val="decimal"/>
      <w:lvlText w:val=""/>
      <w:lvlJc w:val="left"/>
      <w:pPr>
        <w:ind w:left="1584" w:hanging="1584"/>
      </w:pPr>
    </w:lvl>
  </w:abstractNum>
  <w:abstractNum w:abstractNumId="1" w15:restartNumberingAfterBreak="0">
    <w:nsid w:val="00000002"/>
    <w:multiLevelType w:val="multilevel"/>
    <w:tmpl w:val="00000002"/>
    <w:lvl w:ilvl="0">
      <w:start w:val="1"/>
      <w:numFmt w:val="decimal"/>
      <w:lvlText w:val="%1."/>
      <w:lvlJc w:val="left"/>
      <w:pPr>
        <w:ind w:left="720" w:hanging="360"/>
      </w:pPr>
      <w:rPr>
        <w:rFonts w:eastAsia="Times New Roman"/>
        <w:sz w:val="22"/>
        <w:szCs w:val="22"/>
      </w:rPr>
    </w:lvl>
    <w:lvl w:ilvl="1">
      <w:start w:val="1"/>
      <w:numFmt w:val="decimal"/>
      <w:lvlText w:val="%1.%2."/>
      <w:lvlJc w:val="left"/>
      <w:pPr>
        <w:ind w:left="1080" w:hanging="360"/>
      </w:pPr>
      <w:rPr>
        <w:color w:val="4472C4"/>
      </w:rPr>
    </w:lvl>
    <w:lvl w:ilvl="2">
      <w:start w:val="1"/>
      <w:numFmt w:val="decimal"/>
      <w:lvlText w:val="%1.%2.%3."/>
      <w:lvlJc w:val="left"/>
      <w:pPr>
        <w:ind w:left="1800" w:hanging="720"/>
      </w:pPr>
      <w:rPr>
        <w:color w:val="4472C4"/>
      </w:rPr>
    </w:lvl>
    <w:lvl w:ilvl="3">
      <w:start w:val="1"/>
      <w:numFmt w:val="decimal"/>
      <w:lvlText w:val="%1.%2.%3.%4."/>
      <w:lvlJc w:val="left"/>
      <w:pPr>
        <w:ind w:left="2160" w:hanging="720"/>
      </w:pPr>
      <w:rPr>
        <w:color w:val="4472C4"/>
      </w:rPr>
    </w:lvl>
    <w:lvl w:ilvl="4">
      <w:start w:val="1"/>
      <w:numFmt w:val="decimal"/>
      <w:lvlText w:val="%1.%2.%3.%4.%5."/>
      <w:lvlJc w:val="left"/>
      <w:pPr>
        <w:ind w:left="2880" w:hanging="1080"/>
      </w:pPr>
      <w:rPr>
        <w:color w:val="4472C4"/>
      </w:rPr>
    </w:lvl>
    <w:lvl w:ilvl="5">
      <w:start w:val="1"/>
      <w:numFmt w:val="decimal"/>
      <w:lvlText w:val="%1.%2.%3.%4.%5.%6."/>
      <w:lvlJc w:val="left"/>
      <w:pPr>
        <w:ind w:left="3240" w:hanging="1080"/>
      </w:pPr>
      <w:rPr>
        <w:color w:val="4472C4"/>
      </w:rPr>
    </w:lvl>
    <w:lvl w:ilvl="6">
      <w:start w:val="1"/>
      <w:numFmt w:val="decimal"/>
      <w:lvlText w:val="%1.%2.%3.%4.%5.%6.%7."/>
      <w:lvlJc w:val="left"/>
      <w:pPr>
        <w:ind w:left="3960" w:hanging="1440"/>
      </w:pPr>
      <w:rPr>
        <w:color w:val="4472C4"/>
      </w:rPr>
    </w:lvl>
    <w:lvl w:ilvl="7">
      <w:start w:val="1"/>
      <w:numFmt w:val="decimal"/>
      <w:lvlText w:val="%1.%2.%3.%4.%5.%6.%7.%8."/>
      <w:lvlJc w:val="left"/>
      <w:pPr>
        <w:ind w:left="4320" w:hanging="1440"/>
      </w:pPr>
      <w:rPr>
        <w:color w:val="4472C4"/>
      </w:rPr>
    </w:lvl>
    <w:lvl w:ilvl="8">
      <w:start w:val="1"/>
      <w:numFmt w:val="decimal"/>
      <w:lvlText w:val="%1.%2.%3.%4.%5.%6.%7.%8.%9."/>
      <w:lvlJc w:val="left"/>
      <w:pPr>
        <w:ind w:left="5040" w:hanging="1800"/>
      </w:pPr>
      <w:rPr>
        <w:color w:val="4472C4"/>
      </w:rPr>
    </w:lvl>
  </w:abstractNum>
  <w:abstractNum w:abstractNumId="2" w15:restartNumberingAfterBreak="0">
    <w:nsid w:val="00000003"/>
    <w:multiLevelType w:val="multilevel"/>
    <w:tmpl w:val="00000003"/>
    <w:lvl w:ilvl="0">
      <w:start w:val="1"/>
      <w:numFmt w:val="decimal"/>
      <w:lvlText w:val="%1"/>
      <w:lvlJc w:val="left"/>
      <w:pPr>
        <w:ind w:left="360" w:hanging="360"/>
      </w:pPr>
      <w:rPr>
        <w:b/>
        <w:bCs/>
        <w:sz w:val="22"/>
        <w:szCs w:val="22"/>
      </w:rPr>
    </w:lvl>
    <w:lvl w:ilvl="1">
      <w:start w:val="3"/>
      <w:numFmt w:val="decimal"/>
      <w:lvlText w:val="%1.%2"/>
      <w:lvlJc w:val="left"/>
      <w:pPr>
        <w:ind w:left="360" w:hanging="360"/>
      </w:pPr>
      <w:rPr>
        <w:b/>
        <w:bCs/>
        <w:sz w:val="22"/>
        <w:szCs w:val="22"/>
      </w:rPr>
    </w:lvl>
    <w:lvl w:ilvl="2">
      <w:start w:val="1"/>
      <w:numFmt w:val="decimal"/>
      <w:lvlText w:val="%1.%2.%3"/>
      <w:lvlJc w:val="left"/>
      <w:pPr>
        <w:ind w:left="720" w:hanging="720"/>
      </w:pPr>
      <w:rPr>
        <w:b/>
        <w:bCs/>
        <w:sz w:val="22"/>
        <w:szCs w:val="22"/>
      </w:rPr>
    </w:lvl>
    <w:lvl w:ilvl="3">
      <w:start w:val="1"/>
      <w:numFmt w:val="decimal"/>
      <w:lvlText w:val="%1.%2.%3.%4"/>
      <w:lvlJc w:val="left"/>
      <w:pPr>
        <w:ind w:left="720" w:hanging="720"/>
      </w:pPr>
      <w:rPr>
        <w:b/>
        <w:bCs/>
        <w:sz w:val="22"/>
        <w:szCs w:val="22"/>
      </w:rPr>
    </w:lvl>
    <w:lvl w:ilvl="4">
      <w:start w:val="1"/>
      <w:numFmt w:val="decimal"/>
      <w:lvlText w:val="%1.%2.%3.%4.%5"/>
      <w:lvlJc w:val="left"/>
      <w:pPr>
        <w:ind w:left="720" w:hanging="720"/>
      </w:pPr>
      <w:rPr>
        <w:b/>
        <w:bCs/>
        <w:sz w:val="22"/>
        <w:szCs w:val="22"/>
      </w:rPr>
    </w:lvl>
    <w:lvl w:ilvl="5">
      <w:start w:val="1"/>
      <w:numFmt w:val="decimal"/>
      <w:lvlText w:val="%1.%2.%3.%4.%5.%6"/>
      <w:lvlJc w:val="left"/>
      <w:pPr>
        <w:ind w:left="1080" w:hanging="1080"/>
      </w:pPr>
      <w:rPr>
        <w:b/>
        <w:bCs/>
        <w:sz w:val="22"/>
        <w:szCs w:val="22"/>
      </w:rPr>
    </w:lvl>
    <w:lvl w:ilvl="6">
      <w:start w:val="1"/>
      <w:numFmt w:val="decimal"/>
      <w:lvlText w:val="%1.%2.%3.%4.%5.%6.%7"/>
      <w:lvlJc w:val="left"/>
      <w:pPr>
        <w:ind w:left="1080" w:hanging="1080"/>
      </w:pPr>
      <w:rPr>
        <w:b/>
        <w:bCs/>
        <w:sz w:val="22"/>
        <w:szCs w:val="22"/>
      </w:rPr>
    </w:lvl>
    <w:lvl w:ilvl="7">
      <w:start w:val="1"/>
      <w:numFmt w:val="decimal"/>
      <w:lvlText w:val="%1.%2.%3.%4.%5.%6.%7.%8"/>
      <w:lvlJc w:val="left"/>
      <w:pPr>
        <w:ind w:left="1440" w:hanging="1440"/>
      </w:pPr>
      <w:rPr>
        <w:b/>
        <w:bCs/>
        <w:sz w:val="22"/>
        <w:szCs w:val="22"/>
      </w:rPr>
    </w:lvl>
    <w:lvl w:ilvl="8">
      <w:start w:val="1"/>
      <w:numFmt w:val="decimal"/>
      <w:lvlText w:val="%1.%2.%3.%4.%5.%6.%7.%8.%9"/>
      <w:lvlJc w:val="left"/>
      <w:pPr>
        <w:ind w:left="1440" w:hanging="1440"/>
      </w:pPr>
      <w:rPr>
        <w:b/>
        <w:bCs/>
        <w:sz w:val="22"/>
        <w:szCs w:val="22"/>
      </w:rPr>
    </w:lvl>
  </w:abstractNum>
  <w:abstractNum w:abstractNumId="3" w15:restartNumberingAfterBreak="0">
    <w:nsid w:val="00000004"/>
    <w:multiLevelType w:val="multilevel"/>
    <w:tmpl w:val="00000004"/>
    <w:lvl w:ilvl="0">
      <w:start w:val="1"/>
      <w:numFmt w:val="decimal"/>
      <w:lvlText w:val="%1."/>
      <w:lvlJc w:val="left"/>
      <w:pPr>
        <w:ind w:left="720" w:hanging="360"/>
      </w:pPr>
      <w:rPr>
        <w:color w:val="000000"/>
        <w:sz w:val="22"/>
        <w:szCs w:val="22"/>
      </w:rPr>
    </w:lvl>
    <w:lvl w:ilvl="1">
      <w:start w:val="2"/>
      <w:numFmt w:val="decimal"/>
      <w:lvlText w:val="%1.%2"/>
      <w:lvlJc w:val="left"/>
      <w:pPr>
        <w:ind w:left="720" w:hanging="360"/>
      </w:pPr>
      <w:rPr>
        <w:b/>
        <w:bCs/>
      </w:rPr>
    </w:lvl>
    <w:lvl w:ilvl="2">
      <w:start w:val="1"/>
      <w:numFmt w:val="decimal"/>
      <w:lvlText w:val="%1.%2.%3"/>
      <w:lvlJc w:val="left"/>
      <w:pPr>
        <w:ind w:left="1080" w:hanging="720"/>
      </w:pPr>
      <w:rPr>
        <w:b/>
        <w:bCs/>
      </w:rPr>
    </w:lvl>
    <w:lvl w:ilvl="3">
      <w:start w:val="1"/>
      <w:numFmt w:val="decimal"/>
      <w:lvlText w:val="%1.%2.%3.%4"/>
      <w:lvlJc w:val="left"/>
      <w:pPr>
        <w:ind w:left="1080" w:hanging="720"/>
      </w:pPr>
      <w:rPr>
        <w:b/>
        <w:bCs/>
      </w:rPr>
    </w:lvl>
    <w:lvl w:ilvl="4">
      <w:start w:val="1"/>
      <w:numFmt w:val="decimal"/>
      <w:lvlText w:val="%1.%2.%3.%4.%5"/>
      <w:lvlJc w:val="left"/>
      <w:pPr>
        <w:ind w:left="1080" w:hanging="720"/>
      </w:pPr>
      <w:rPr>
        <w:b/>
        <w:bCs/>
      </w:rPr>
    </w:lvl>
    <w:lvl w:ilvl="5">
      <w:start w:val="1"/>
      <w:numFmt w:val="decimal"/>
      <w:lvlText w:val="%1.%2.%3.%4.%5.%6"/>
      <w:lvlJc w:val="left"/>
      <w:pPr>
        <w:ind w:left="1440" w:hanging="1080"/>
      </w:pPr>
      <w:rPr>
        <w:b/>
        <w:bCs/>
      </w:rPr>
    </w:lvl>
    <w:lvl w:ilvl="6">
      <w:start w:val="1"/>
      <w:numFmt w:val="decimal"/>
      <w:lvlText w:val="%1.%2.%3.%4.%5.%6.%7"/>
      <w:lvlJc w:val="left"/>
      <w:pPr>
        <w:ind w:left="1440" w:hanging="1080"/>
      </w:pPr>
      <w:rPr>
        <w:b/>
        <w:bCs/>
      </w:rPr>
    </w:lvl>
    <w:lvl w:ilvl="7">
      <w:start w:val="1"/>
      <w:numFmt w:val="decimal"/>
      <w:lvlText w:val="%1.%2.%3.%4.%5.%6.%7.%8"/>
      <w:lvlJc w:val="left"/>
      <w:pPr>
        <w:ind w:left="1800" w:hanging="1440"/>
      </w:pPr>
      <w:rPr>
        <w:b/>
        <w:bCs/>
      </w:rPr>
    </w:lvl>
    <w:lvl w:ilvl="8">
      <w:start w:val="1"/>
      <w:numFmt w:val="decimal"/>
      <w:lvlText w:val="%1.%2.%3.%4.%5.%6.%7.%8.%9"/>
      <w:lvlJc w:val="left"/>
      <w:pPr>
        <w:ind w:left="1800" w:hanging="1440"/>
      </w:pPr>
      <w:rPr>
        <w:b/>
        <w:bCs/>
      </w:rPr>
    </w:lvl>
  </w:abstractNum>
  <w:abstractNum w:abstractNumId="4" w15:restartNumberingAfterBreak="0">
    <w:nsid w:val="00000005"/>
    <w:multiLevelType w:val="multilevel"/>
    <w:tmpl w:val="00000005"/>
    <w:lvl w:ilvl="0">
      <w:start w:val="1"/>
      <w:numFmt w:val="decimal"/>
      <w:lvlText w:val="%1"/>
      <w:lvlJc w:val="left"/>
      <w:pPr>
        <w:ind w:left="360" w:hanging="360"/>
      </w:pPr>
      <w:rPr>
        <w:b/>
        <w:bCs/>
      </w:rPr>
    </w:lvl>
    <w:lvl w:ilvl="1">
      <w:start w:val="1"/>
      <w:numFmt w:val="decimal"/>
      <w:lvlText w:val="%1.%2"/>
      <w:lvlJc w:val="left"/>
      <w:pPr>
        <w:ind w:left="360" w:hanging="360"/>
      </w:pPr>
      <w:rPr>
        <w:b/>
        <w:bCs/>
      </w:rPr>
    </w:lvl>
    <w:lvl w:ilvl="2">
      <w:start w:val="1"/>
      <w:numFmt w:val="decimal"/>
      <w:lvlText w:val="%1.%2.%3"/>
      <w:lvlJc w:val="left"/>
      <w:pPr>
        <w:ind w:left="720" w:hanging="720"/>
      </w:pPr>
      <w:rPr>
        <w:b/>
        <w:bCs/>
      </w:rPr>
    </w:lvl>
    <w:lvl w:ilvl="3">
      <w:start w:val="1"/>
      <w:numFmt w:val="decimal"/>
      <w:lvlText w:val="%1.%2.%3.%4"/>
      <w:lvlJc w:val="left"/>
      <w:pPr>
        <w:ind w:left="720" w:hanging="720"/>
      </w:pPr>
      <w:rPr>
        <w:b/>
        <w:bCs/>
      </w:rPr>
    </w:lvl>
    <w:lvl w:ilvl="4">
      <w:start w:val="1"/>
      <w:numFmt w:val="decimal"/>
      <w:lvlText w:val="%1.%2.%3.%4.%5"/>
      <w:lvlJc w:val="left"/>
      <w:pPr>
        <w:ind w:left="720" w:hanging="720"/>
      </w:pPr>
      <w:rPr>
        <w:b/>
        <w:bCs/>
      </w:rPr>
    </w:lvl>
    <w:lvl w:ilvl="5">
      <w:start w:val="1"/>
      <w:numFmt w:val="decimal"/>
      <w:lvlText w:val="%1.%2.%3.%4.%5.%6"/>
      <w:lvlJc w:val="left"/>
      <w:pPr>
        <w:ind w:left="1080" w:hanging="1080"/>
      </w:pPr>
      <w:rPr>
        <w:b/>
        <w:bCs/>
      </w:rPr>
    </w:lvl>
    <w:lvl w:ilvl="6">
      <w:start w:val="1"/>
      <w:numFmt w:val="decimal"/>
      <w:lvlText w:val="%1.%2.%3.%4.%5.%6.%7"/>
      <w:lvlJc w:val="left"/>
      <w:pPr>
        <w:ind w:left="1080" w:hanging="1080"/>
      </w:pPr>
      <w:rPr>
        <w:b/>
        <w:bCs/>
      </w:rPr>
    </w:lvl>
    <w:lvl w:ilvl="7">
      <w:start w:val="1"/>
      <w:numFmt w:val="decimal"/>
      <w:lvlText w:val="%1.%2.%3.%4.%5.%6.%7.%8"/>
      <w:lvlJc w:val="left"/>
      <w:pPr>
        <w:ind w:left="1440" w:hanging="1440"/>
      </w:pPr>
      <w:rPr>
        <w:b/>
        <w:bCs/>
      </w:rPr>
    </w:lvl>
    <w:lvl w:ilvl="8">
      <w:start w:val="1"/>
      <w:numFmt w:val="decimal"/>
      <w:lvlText w:val="%1.%2.%3.%4.%5.%6.%7.%8.%9"/>
      <w:lvlJc w:val="left"/>
      <w:pPr>
        <w:ind w:left="1440" w:hanging="1440"/>
      </w:pPr>
      <w:rPr>
        <w:b/>
        <w:bCs/>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oNotTrackMoves/>
  <w:defaultTabStop w:val="708"/>
  <w:hyphenationZone w:val="425"/>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1285F"/>
    <w:rsid w:val="00A1285F"/>
    <w:rsid w:val="00AA47AD"/>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7B9D73F"/>
  <w14:defaultImageDpi w14:val="0"/>
  <w15:docId w15:val="{91A51229-5B31-4798-AE8A-9B5C4AF45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s-AR" w:eastAsia="es-A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rPr>
  </w:style>
  <w:style w:type="character" w:default="1" w:styleId="Fuentedeprrafopredeter">
    <w:name w:val="Default Paragraph Font"/>
    <w:uiPriority w:val="99"/>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edeterminado">
    <w:name w:val="Predeterminado"/>
    <w:pPr>
      <w:autoSpaceDE w:val="0"/>
      <w:autoSpaceDN w:val="0"/>
      <w:adjustRightInd w:val="0"/>
    </w:pPr>
    <w:rPr>
      <w:rFonts w:ascii="Times New Roman" w:hAnsi="Times New Roman"/>
      <w:sz w:val="24"/>
      <w:szCs w:val="24"/>
      <w:lang w:val="en-US" w:eastAsia="zh-CN"/>
    </w:rPr>
  </w:style>
  <w:style w:type="paragraph" w:customStyle="1" w:styleId="Encabezado1">
    <w:name w:val="Encabezado 1"/>
    <w:basedOn w:val="Predeterminado"/>
    <w:next w:val="Predeterminado"/>
    <w:uiPriority w:val="99"/>
    <w:pPr>
      <w:keepNext/>
      <w:widowControl w:val="0"/>
      <w:jc w:val="center"/>
      <w:outlineLvl w:val="0"/>
    </w:pPr>
    <w:rPr>
      <w:rFonts w:ascii="Arial" w:cs="Arial"/>
      <w:b/>
      <w:bCs/>
      <w:sz w:val="28"/>
      <w:szCs w:val="28"/>
      <w:lang w:val="es-ES_tradnl" w:eastAsia="es-AR"/>
    </w:rPr>
  </w:style>
  <w:style w:type="paragraph" w:customStyle="1" w:styleId="Encabezado2">
    <w:name w:val="Encabezado 2"/>
    <w:basedOn w:val="Predeterminado"/>
    <w:next w:val="Predeterminado"/>
    <w:uiPriority w:val="99"/>
    <w:pPr>
      <w:keepNext/>
      <w:widowControl w:val="0"/>
      <w:numPr>
        <w:ilvl w:val="1"/>
      </w:numPr>
      <w:jc w:val="center"/>
      <w:outlineLvl w:val="1"/>
    </w:pPr>
    <w:rPr>
      <w:rFonts w:ascii="Arial" w:cs="Arial"/>
      <w:b/>
      <w:bCs/>
      <w:lang w:val="es-ES_tradnl" w:eastAsia="es-AR"/>
    </w:rPr>
  </w:style>
  <w:style w:type="paragraph" w:customStyle="1" w:styleId="Encabezado3">
    <w:name w:val="Encabezado 3"/>
    <w:basedOn w:val="Predeterminado"/>
    <w:next w:val="Predeterminado"/>
    <w:uiPriority w:val="99"/>
    <w:pPr>
      <w:keepNext/>
      <w:numPr>
        <w:ilvl w:val="2"/>
      </w:numPr>
      <w:jc w:val="both"/>
      <w:outlineLvl w:val="2"/>
    </w:pPr>
    <w:rPr>
      <w:rFonts w:ascii="Arial" w:cs="Arial"/>
      <w:b/>
      <w:bCs/>
      <w:sz w:val="22"/>
      <w:szCs w:val="22"/>
      <w:lang w:val="es-AR" w:eastAsia="es-AR"/>
    </w:rPr>
  </w:style>
  <w:style w:type="paragraph" w:customStyle="1" w:styleId="Encabezado4">
    <w:name w:val="Encabezado 4"/>
    <w:basedOn w:val="Predeterminado"/>
    <w:next w:val="Predeterminado"/>
    <w:uiPriority w:val="99"/>
    <w:pPr>
      <w:keepNext/>
      <w:numPr>
        <w:ilvl w:val="3"/>
      </w:numPr>
      <w:ind w:left="-4854" w:right="-32" w:firstLine="4854"/>
      <w:jc w:val="center"/>
      <w:outlineLvl w:val="3"/>
    </w:pPr>
    <w:rPr>
      <w:rFonts w:ascii="Arial" w:cs="Arial"/>
      <w:b/>
      <w:bCs/>
      <w:sz w:val="22"/>
      <w:szCs w:val="22"/>
      <w:lang w:val="es-AR" w:eastAsia="es-AR"/>
    </w:rPr>
  </w:style>
  <w:style w:type="paragraph" w:customStyle="1" w:styleId="Encabezado5">
    <w:name w:val="Encabezado 5"/>
    <w:basedOn w:val="Predeterminado"/>
    <w:next w:val="Predeterminado"/>
    <w:uiPriority w:val="99"/>
    <w:pPr>
      <w:keepNext/>
      <w:numPr>
        <w:ilvl w:val="4"/>
      </w:numPr>
      <w:jc w:val="both"/>
      <w:outlineLvl w:val="4"/>
    </w:pPr>
    <w:rPr>
      <w:rFonts w:ascii="Arial" w:cs="Arial"/>
      <w:b/>
      <w:bCs/>
      <w:color w:val="FF0000"/>
      <w:sz w:val="22"/>
      <w:szCs w:val="22"/>
      <w:lang w:val="es-AR" w:eastAsia="es-AR"/>
    </w:rPr>
  </w:style>
  <w:style w:type="paragraph" w:customStyle="1" w:styleId="Encabezado6">
    <w:name w:val="Encabezado 6"/>
    <w:basedOn w:val="Predeterminado"/>
    <w:next w:val="Predeterminado"/>
    <w:uiPriority w:val="99"/>
    <w:pPr>
      <w:keepNext/>
      <w:numPr>
        <w:ilvl w:val="5"/>
      </w:numPr>
      <w:jc w:val="both"/>
      <w:outlineLvl w:val="5"/>
    </w:pPr>
    <w:rPr>
      <w:rFonts w:ascii="Arial" w:cs="Arial"/>
      <w:b/>
      <w:bCs/>
      <w:color w:val="0000FF"/>
      <w:sz w:val="22"/>
      <w:szCs w:val="22"/>
      <w:lang w:val="es-AR" w:eastAsia="es-AR"/>
    </w:rPr>
  </w:style>
  <w:style w:type="paragraph" w:customStyle="1" w:styleId="Encabezado7">
    <w:name w:val="Encabezado 7"/>
    <w:basedOn w:val="Predeterminado"/>
    <w:next w:val="Predeterminado"/>
    <w:uiPriority w:val="99"/>
    <w:pPr>
      <w:keepNext/>
      <w:numPr>
        <w:ilvl w:val="6"/>
      </w:numPr>
      <w:jc w:val="center"/>
      <w:outlineLvl w:val="6"/>
    </w:pPr>
    <w:rPr>
      <w:rFonts w:ascii="Arial" w:cs="Arial"/>
      <w:b/>
      <w:bCs/>
      <w:sz w:val="22"/>
      <w:szCs w:val="22"/>
      <w:lang w:val="es-AR" w:eastAsia="es-AR"/>
    </w:rPr>
  </w:style>
  <w:style w:type="paragraph" w:customStyle="1" w:styleId="Encabezado8">
    <w:name w:val="Encabezado 8"/>
    <w:basedOn w:val="Predeterminado"/>
    <w:next w:val="Predeterminado"/>
    <w:uiPriority w:val="99"/>
    <w:pPr>
      <w:keepNext/>
      <w:numPr>
        <w:ilvl w:val="7"/>
      </w:numPr>
      <w:ind w:left="-70"/>
      <w:jc w:val="center"/>
      <w:outlineLvl w:val="7"/>
    </w:pPr>
    <w:rPr>
      <w:rFonts w:ascii="Arial" w:cs="Arial"/>
      <w:b/>
      <w:bCs/>
      <w:sz w:val="22"/>
      <w:szCs w:val="22"/>
      <w:lang w:val="es-AR" w:eastAsia="es-AR"/>
    </w:rPr>
  </w:style>
  <w:style w:type="paragraph" w:customStyle="1" w:styleId="Encabezado9">
    <w:name w:val="Encabezado 9"/>
    <w:basedOn w:val="Predeterminado"/>
    <w:next w:val="Predeterminado"/>
    <w:uiPriority w:val="99"/>
    <w:pPr>
      <w:keepNext/>
      <w:numPr>
        <w:ilvl w:val="8"/>
      </w:numPr>
      <w:ind w:left="285"/>
      <w:jc w:val="center"/>
      <w:outlineLvl w:val="8"/>
    </w:pPr>
    <w:rPr>
      <w:rFonts w:ascii="Arial" w:cs="Arial"/>
      <w:b/>
      <w:bCs/>
      <w:sz w:val="22"/>
      <w:szCs w:val="22"/>
      <w:lang w:val="es-AR" w:eastAsia="es-AR"/>
    </w:rPr>
  </w:style>
  <w:style w:type="character" w:customStyle="1" w:styleId="WW8Num1z0">
    <w:name w:val="WW8Num1z0"/>
    <w:uiPriority w:val="99"/>
    <w:rPr>
      <w:rFonts w:ascii="Arial" w:eastAsia="Times New Roman" w:cs="Arial"/>
      <w:b/>
      <w:bCs/>
    </w:rPr>
  </w:style>
  <w:style w:type="character" w:customStyle="1" w:styleId="WW8Num2z0">
    <w:name w:val="WW8Num2z0"/>
    <w:uiPriority w:val="99"/>
    <w:rPr>
      <w:rFonts w:ascii="Arial" w:eastAsia="Times New Roman" w:cs="Arial"/>
      <w:b/>
      <w:bCs/>
    </w:rPr>
  </w:style>
  <w:style w:type="character" w:customStyle="1" w:styleId="WW8Num3z0">
    <w:name w:val="WW8Num3z0"/>
    <w:uiPriority w:val="99"/>
    <w:rPr>
      <w:rFonts w:ascii="Arial" w:eastAsia="Times New Roman" w:cs="Arial"/>
      <w:b/>
      <w:bCs/>
    </w:rPr>
  </w:style>
  <w:style w:type="character" w:customStyle="1" w:styleId="WW8Num4z0">
    <w:name w:val="WW8Num4z0"/>
    <w:uiPriority w:val="99"/>
    <w:rPr>
      <w:rFonts w:ascii="Symbol" w:eastAsia="Times New Roman" w:cs="Symbol"/>
      <w:sz w:val="22"/>
      <w:szCs w:val="22"/>
    </w:rPr>
  </w:style>
  <w:style w:type="character" w:customStyle="1" w:styleId="WW8Num4z1">
    <w:name w:val="WW8Num4z1"/>
    <w:uiPriority w:val="99"/>
    <w:rPr>
      <w:rFonts w:ascii="Courier New" w:eastAsia="Times New Roman" w:cs="Courier New"/>
    </w:rPr>
  </w:style>
  <w:style w:type="character" w:customStyle="1" w:styleId="WW8Num4z2">
    <w:name w:val="WW8Num4z2"/>
    <w:uiPriority w:val="99"/>
    <w:rPr>
      <w:rFonts w:ascii="Wingdings" w:eastAsia="Times New Roman" w:cs="Wingdings"/>
    </w:rPr>
  </w:style>
  <w:style w:type="character" w:customStyle="1" w:styleId="WW8Num4z3">
    <w:name w:val="WW8Num4z3"/>
    <w:uiPriority w:val="99"/>
    <w:rPr>
      <w:rFonts w:ascii="Symbol" w:eastAsia="Times New Roman" w:cs="Symbol"/>
    </w:rPr>
  </w:style>
  <w:style w:type="character" w:customStyle="1" w:styleId="WW8Num5z0">
    <w:name w:val="WW8Num5z0"/>
    <w:uiPriority w:val="99"/>
  </w:style>
  <w:style w:type="character" w:customStyle="1" w:styleId="WW8Num5z2">
    <w:name w:val="WW8Num5z2"/>
    <w:uiPriority w:val="99"/>
  </w:style>
  <w:style w:type="character" w:customStyle="1" w:styleId="WW8Num5z3">
    <w:name w:val="WW8Num5z3"/>
    <w:uiPriority w:val="99"/>
  </w:style>
  <w:style w:type="character" w:customStyle="1" w:styleId="WW8Num5z4">
    <w:name w:val="WW8Num5z4"/>
    <w:uiPriority w:val="99"/>
  </w:style>
  <w:style w:type="character" w:customStyle="1" w:styleId="WW8Num5z5">
    <w:name w:val="WW8Num5z5"/>
    <w:uiPriority w:val="99"/>
  </w:style>
  <w:style w:type="character" w:customStyle="1" w:styleId="WW8Num5z6">
    <w:name w:val="WW8Num5z6"/>
    <w:uiPriority w:val="99"/>
  </w:style>
  <w:style w:type="character" w:customStyle="1" w:styleId="WW8Num5z7">
    <w:name w:val="WW8Num5z7"/>
    <w:uiPriority w:val="99"/>
  </w:style>
  <w:style w:type="character" w:customStyle="1" w:styleId="WW8Num5z8">
    <w:name w:val="WW8Num5z8"/>
    <w:uiPriority w:val="99"/>
  </w:style>
  <w:style w:type="character" w:customStyle="1" w:styleId="WW8Num6z0">
    <w:name w:val="WW8Num6z0"/>
    <w:uiPriority w:val="99"/>
  </w:style>
  <w:style w:type="character" w:customStyle="1" w:styleId="WW8Num6z1">
    <w:name w:val="WW8Num6z1"/>
    <w:uiPriority w:val="99"/>
  </w:style>
  <w:style w:type="character" w:customStyle="1" w:styleId="WW8Num6z2">
    <w:name w:val="WW8Num6z2"/>
    <w:uiPriority w:val="99"/>
  </w:style>
  <w:style w:type="character" w:customStyle="1" w:styleId="WW8Num6z3">
    <w:name w:val="WW8Num6z3"/>
    <w:uiPriority w:val="99"/>
  </w:style>
  <w:style w:type="character" w:customStyle="1" w:styleId="WW8Num6z4">
    <w:name w:val="WW8Num6z4"/>
    <w:uiPriority w:val="99"/>
  </w:style>
  <w:style w:type="character" w:customStyle="1" w:styleId="WW8Num6z5">
    <w:name w:val="WW8Num6z5"/>
    <w:uiPriority w:val="99"/>
  </w:style>
  <w:style w:type="character" w:customStyle="1" w:styleId="WW8Num6z6">
    <w:name w:val="WW8Num6z6"/>
    <w:uiPriority w:val="99"/>
  </w:style>
  <w:style w:type="character" w:customStyle="1" w:styleId="WW8Num6z7">
    <w:name w:val="WW8Num6z7"/>
    <w:uiPriority w:val="99"/>
  </w:style>
  <w:style w:type="character" w:customStyle="1" w:styleId="WW8Num6z8">
    <w:name w:val="WW8Num6z8"/>
    <w:uiPriority w:val="99"/>
  </w:style>
  <w:style w:type="character" w:customStyle="1" w:styleId="WW8Num7z0">
    <w:name w:val="WW8Num7z0"/>
    <w:uiPriority w:val="99"/>
  </w:style>
  <w:style w:type="character" w:customStyle="1" w:styleId="WW8Num7z1">
    <w:name w:val="WW8Num7z1"/>
    <w:uiPriority w:val="99"/>
  </w:style>
  <w:style w:type="character" w:customStyle="1" w:styleId="WW8Num7z2">
    <w:name w:val="WW8Num7z2"/>
    <w:uiPriority w:val="99"/>
  </w:style>
  <w:style w:type="character" w:customStyle="1" w:styleId="WW8Num7z3">
    <w:name w:val="WW8Num7z3"/>
    <w:uiPriority w:val="99"/>
  </w:style>
  <w:style w:type="character" w:customStyle="1" w:styleId="WW8Num7z4">
    <w:name w:val="WW8Num7z4"/>
    <w:uiPriority w:val="99"/>
  </w:style>
  <w:style w:type="character" w:customStyle="1" w:styleId="WW8Num7z5">
    <w:name w:val="WW8Num7z5"/>
    <w:uiPriority w:val="99"/>
  </w:style>
  <w:style w:type="character" w:customStyle="1" w:styleId="WW8Num7z6">
    <w:name w:val="WW8Num7z6"/>
    <w:uiPriority w:val="99"/>
  </w:style>
  <w:style w:type="character" w:customStyle="1" w:styleId="WW8Num7z7">
    <w:name w:val="WW8Num7z7"/>
    <w:uiPriority w:val="99"/>
  </w:style>
  <w:style w:type="character" w:customStyle="1" w:styleId="WW8Num7z8">
    <w:name w:val="WW8Num7z8"/>
    <w:uiPriority w:val="99"/>
  </w:style>
  <w:style w:type="character" w:customStyle="1" w:styleId="WW8Num8z0">
    <w:name w:val="WW8Num8z0"/>
    <w:uiPriority w:val="99"/>
    <w:rPr>
      <w:rFonts w:eastAsia="Times New Roman"/>
      <w:sz w:val="22"/>
      <w:szCs w:val="22"/>
    </w:rPr>
  </w:style>
  <w:style w:type="character" w:customStyle="1" w:styleId="WW8Num8z1">
    <w:name w:val="WW8Num8z1"/>
    <w:uiPriority w:val="99"/>
    <w:rPr>
      <w:color w:val="4472C4"/>
    </w:rPr>
  </w:style>
  <w:style w:type="character" w:customStyle="1" w:styleId="WW8Num9z0">
    <w:name w:val="WW8Num9z0"/>
    <w:uiPriority w:val="99"/>
  </w:style>
  <w:style w:type="character" w:customStyle="1" w:styleId="WW8Num9z1">
    <w:name w:val="WW8Num9z1"/>
    <w:uiPriority w:val="99"/>
  </w:style>
  <w:style w:type="character" w:customStyle="1" w:styleId="WW8Num9z2">
    <w:name w:val="WW8Num9z2"/>
    <w:uiPriority w:val="99"/>
  </w:style>
  <w:style w:type="character" w:customStyle="1" w:styleId="WW8Num9z3">
    <w:name w:val="WW8Num9z3"/>
    <w:uiPriority w:val="99"/>
  </w:style>
  <w:style w:type="character" w:customStyle="1" w:styleId="WW8Num9z4">
    <w:name w:val="WW8Num9z4"/>
    <w:uiPriority w:val="99"/>
  </w:style>
  <w:style w:type="character" w:customStyle="1" w:styleId="WW8Num9z5">
    <w:name w:val="WW8Num9z5"/>
    <w:uiPriority w:val="99"/>
  </w:style>
  <w:style w:type="character" w:customStyle="1" w:styleId="WW8Num9z6">
    <w:name w:val="WW8Num9z6"/>
    <w:uiPriority w:val="99"/>
  </w:style>
  <w:style w:type="character" w:customStyle="1" w:styleId="WW8Num9z7">
    <w:name w:val="WW8Num9z7"/>
    <w:uiPriority w:val="99"/>
  </w:style>
  <w:style w:type="character" w:customStyle="1" w:styleId="WW8Num9z8">
    <w:name w:val="WW8Num9z8"/>
    <w:uiPriority w:val="99"/>
  </w:style>
  <w:style w:type="character" w:customStyle="1" w:styleId="WW8Num10z0">
    <w:name w:val="WW8Num10z0"/>
    <w:uiPriority w:val="99"/>
    <w:rPr>
      <w:rFonts w:ascii="Arial" w:eastAsia="Times New Roman" w:cs="Arial"/>
      <w:b/>
      <w:bCs/>
    </w:rPr>
  </w:style>
  <w:style w:type="character" w:customStyle="1" w:styleId="WW8Num11z0">
    <w:name w:val="WW8Num11z0"/>
    <w:uiPriority w:val="99"/>
  </w:style>
  <w:style w:type="character" w:customStyle="1" w:styleId="WW8Num12z0">
    <w:name w:val="WW8Num12z0"/>
    <w:uiPriority w:val="99"/>
  </w:style>
  <w:style w:type="character" w:customStyle="1" w:styleId="WW8Num12z1">
    <w:name w:val="WW8Num12z1"/>
    <w:uiPriority w:val="99"/>
  </w:style>
  <w:style w:type="character" w:customStyle="1" w:styleId="WW8Num12z2">
    <w:name w:val="WW8Num12z2"/>
    <w:uiPriority w:val="99"/>
  </w:style>
  <w:style w:type="character" w:customStyle="1" w:styleId="WW8Num12z3">
    <w:name w:val="WW8Num12z3"/>
    <w:uiPriority w:val="99"/>
  </w:style>
  <w:style w:type="character" w:customStyle="1" w:styleId="WW8Num12z4">
    <w:name w:val="WW8Num12z4"/>
    <w:uiPriority w:val="99"/>
  </w:style>
  <w:style w:type="character" w:customStyle="1" w:styleId="WW8Num12z5">
    <w:name w:val="WW8Num12z5"/>
    <w:uiPriority w:val="99"/>
  </w:style>
  <w:style w:type="character" w:customStyle="1" w:styleId="WW8Num12z6">
    <w:name w:val="WW8Num12z6"/>
    <w:uiPriority w:val="99"/>
  </w:style>
  <w:style w:type="character" w:customStyle="1" w:styleId="WW8Num12z7">
    <w:name w:val="WW8Num12z7"/>
    <w:uiPriority w:val="99"/>
  </w:style>
  <w:style w:type="character" w:customStyle="1" w:styleId="WW8Num12z8">
    <w:name w:val="WW8Num12z8"/>
    <w:uiPriority w:val="99"/>
  </w:style>
  <w:style w:type="character" w:customStyle="1" w:styleId="WW8Num13z0">
    <w:name w:val="WW8Num13z0"/>
    <w:uiPriority w:val="99"/>
    <w:rPr>
      <w:rFonts w:ascii="Arial" w:eastAsia="Times New Roman" w:cs="Arial"/>
      <w:b/>
      <w:bCs/>
    </w:rPr>
  </w:style>
  <w:style w:type="character" w:customStyle="1" w:styleId="WW8Num14z0">
    <w:name w:val="WW8Num14z0"/>
    <w:uiPriority w:val="99"/>
  </w:style>
  <w:style w:type="character" w:customStyle="1" w:styleId="WW8Num15z0">
    <w:name w:val="WW8Num15z0"/>
    <w:uiPriority w:val="99"/>
  </w:style>
  <w:style w:type="character" w:customStyle="1" w:styleId="WW8Num16z0">
    <w:name w:val="WW8Num16z0"/>
    <w:uiPriority w:val="99"/>
  </w:style>
  <w:style w:type="character" w:customStyle="1" w:styleId="WW8Num16z1">
    <w:name w:val="WW8Num16z1"/>
    <w:uiPriority w:val="99"/>
  </w:style>
  <w:style w:type="character" w:customStyle="1" w:styleId="WW8Num16z2">
    <w:name w:val="WW8Num16z2"/>
    <w:uiPriority w:val="99"/>
  </w:style>
  <w:style w:type="character" w:customStyle="1" w:styleId="WW8Num16z3">
    <w:name w:val="WW8Num16z3"/>
    <w:uiPriority w:val="99"/>
  </w:style>
  <w:style w:type="character" w:customStyle="1" w:styleId="WW8Num16z4">
    <w:name w:val="WW8Num16z4"/>
    <w:uiPriority w:val="99"/>
  </w:style>
  <w:style w:type="character" w:customStyle="1" w:styleId="WW8Num16z5">
    <w:name w:val="WW8Num16z5"/>
    <w:uiPriority w:val="99"/>
  </w:style>
  <w:style w:type="character" w:customStyle="1" w:styleId="WW8Num16z6">
    <w:name w:val="WW8Num16z6"/>
    <w:uiPriority w:val="99"/>
  </w:style>
  <w:style w:type="character" w:customStyle="1" w:styleId="WW8Num16z7">
    <w:name w:val="WW8Num16z7"/>
    <w:uiPriority w:val="99"/>
  </w:style>
  <w:style w:type="character" w:customStyle="1" w:styleId="WW8Num16z8">
    <w:name w:val="WW8Num16z8"/>
    <w:uiPriority w:val="99"/>
  </w:style>
  <w:style w:type="character" w:customStyle="1" w:styleId="WW8Num17z0">
    <w:name w:val="WW8Num17z0"/>
    <w:uiPriority w:val="99"/>
  </w:style>
  <w:style w:type="character" w:customStyle="1" w:styleId="WW8Num18z0">
    <w:name w:val="WW8Num18z0"/>
    <w:uiPriority w:val="99"/>
    <w:rPr>
      <w:rFonts w:ascii="Arial" w:eastAsia="Times New Roman" w:cs="Arial"/>
      <w:b/>
      <w:bCs/>
    </w:rPr>
  </w:style>
  <w:style w:type="character" w:customStyle="1" w:styleId="WW8Num19z0">
    <w:name w:val="WW8Num19z0"/>
    <w:uiPriority w:val="99"/>
    <w:rPr>
      <w:rFonts w:eastAsia="Times New Roman"/>
      <w:b/>
      <w:bCs/>
    </w:rPr>
  </w:style>
  <w:style w:type="character" w:customStyle="1" w:styleId="WW8Num20z0">
    <w:name w:val="WW8Num20z0"/>
    <w:uiPriority w:val="99"/>
    <w:rPr>
      <w:rFonts w:ascii="Arial" w:eastAsia="Times New Roman" w:cs="Arial"/>
      <w:b/>
      <w:bCs/>
    </w:rPr>
  </w:style>
  <w:style w:type="character" w:customStyle="1" w:styleId="WW8Num21z0">
    <w:name w:val="WW8Num21z0"/>
    <w:uiPriority w:val="99"/>
    <w:rPr>
      <w:rFonts w:ascii="Arial" w:eastAsia="Times New Roman" w:cs="Arial"/>
      <w:b/>
      <w:bCs/>
    </w:rPr>
  </w:style>
  <w:style w:type="character" w:customStyle="1" w:styleId="WW8Num22z0">
    <w:name w:val="WW8Num22z0"/>
    <w:uiPriority w:val="99"/>
    <w:rPr>
      <w:rFonts w:ascii="Arial" w:eastAsia="Times New Roman" w:cs="Arial"/>
      <w:b/>
      <w:bCs/>
    </w:rPr>
  </w:style>
  <w:style w:type="character" w:customStyle="1" w:styleId="WW8Num23z0">
    <w:name w:val="WW8Num23z0"/>
    <w:uiPriority w:val="99"/>
    <w:rPr>
      <w:rFonts w:ascii="Symbol" w:eastAsia="Times New Roman" w:cs="Symbol"/>
    </w:rPr>
  </w:style>
  <w:style w:type="character" w:customStyle="1" w:styleId="WW8Num23z1">
    <w:name w:val="WW8Num23z1"/>
    <w:uiPriority w:val="99"/>
    <w:rPr>
      <w:rFonts w:ascii="Courier New" w:eastAsia="Times New Roman" w:cs="Courier New"/>
    </w:rPr>
  </w:style>
  <w:style w:type="character" w:customStyle="1" w:styleId="WW8Num23z2">
    <w:name w:val="WW8Num23z2"/>
    <w:uiPriority w:val="99"/>
    <w:rPr>
      <w:rFonts w:ascii="Wingdings" w:eastAsia="Times New Roman" w:cs="Wingdings"/>
    </w:rPr>
  </w:style>
  <w:style w:type="character" w:customStyle="1" w:styleId="WW8Num24z0">
    <w:name w:val="WW8Num24z0"/>
    <w:uiPriority w:val="99"/>
  </w:style>
  <w:style w:type="character" w:customStyle="1" w:styleId="WW8Num25z0">
    <w:name w:val="WW8Num25z0"/>
    <w:uiPriority w:val="99"/>
  </w:style>
  <w:style w:type="character" w:customStyle="1" w:styleId="WW8Num26z0">
    <w:name w:val="WW8Num26z0"/>
    <w:uiPriority w:val="99"/>
  </w:style>
  <w:style w:type="character" w:customStyle="1" w:styleId="WW8Num27z0">
    <w:name w:val="WW8Num27z0"/>
    <w:uiPriority w:val="99"/>
    <w:rPr>
      <w:b/>
      <w:bCs/>
    </w:rPr>
  </w:style>
  <w:style w:type="character" w:customStyle="1" w:styleId="WW8Num28z0">
    <w:name w:val="WW8Num28z0"/>
    <w:uiPriority w:val="99"/>
    <w:rPr>
      <w:color w:val="000000"/>
      <w:sz w:val="22"/>
      <w:szCs w:val="22"/>
    </w:rPr>
  </w:style>
  <w:style w:type="character" w:customStyle="1" w:styleId="WW8Num28z1">
    <w:name w:val="WW8Num28z1"/>
    <w:uiPriority w:val="99"/>
    <w:rPr>
      <w:b/>
      <w:bCs/>
    </w:rPr>
  </w:style>
  <w:style w:type="character" w:customStyle="1" w:styleId="WW8Num29z0">
    <w:name w:val="WW8Num29z0"/>
    <w:uiPriority w:val="99"/>
    <w:rPr>
      <w:b/>
      <w:bCs/>
    </w:rPr>
  </w:style>
  <w:style w:type="character" w:customStyle="1" w:styleId="WW8Num30z0">
    <w:name w:val="WW8Num30z0"/>
    <w:uiPriority w:val="99"/>
  </w:style>
  <w:style w:type="character" w:customStyle="1" w:styleId="WW8Num30z1">
    <w:name w:val="WW8Num30z1"/>
    <w:uiPriority w:val="99"/>
  </w:style>
  <w:style w:type="character" w:customStyle="1" w:styleId="WW8Num30z2">
    <w:name w:val="WW8Num30z2"/>
    <w:uiPriority w:val="99"/>
  </w:style>
  <w:style w:type="character" w:customStyle="1" w:styleId="WW8Num30z3">
    <w:name w:val="WW8Num30z3"/>
    <w:uiPriority w:val="99"/>
  </w:style>
  <w:style w:type="character" w:customStyle="1" w:styleId="WW8Num30z4">
    <w:name w:val="WW8Num30z4"/>
    <w:uiPriority w:val="99"/>
  </w:style>
  <w:style w:type="character" w:customStyle="1" w:styleId="WW8Num30z5">
    <w:name w:val="WW8Num30z5"/>
    <w:uiPriority w:val="99"/>
  </w:style>
  <w:style w:type="character" w:customStyle="1" w:styleId="WW8Num30z6">
    <w:name w:val="WW8Num30z6"/>
    <w:uiPriority w:val="99"/>
  </w:style>
  <w:style w:type="character" w:customStyle="1" w:styleId="WW8Num30z7">
    <w:name w:val="WW8Num30z7"/>
    <w:uiPriority w:val="99"/>
  </w:style>
  <w:style w:type="character" w:customStyle="1" w:styleId="WW8Num30z8">
    <w:name w:val="WW8Num30z8"/>
    <w:uiPriority w:val="99"/>
  </w:style>
  <w:style w:type="character" w:customStyle="1" w:styleId="WW8Num31z0">
    <w:name w:val="WW8Num31z0"/>
    <w:uiPriority w:val="99"/>
    <w:rPr>
      <w:rFonts w:ascii="Arial" w:eastAsia="Times New Roman" w:cs="Arial"/>
      <w:b/>
      <w:bCs/>
    </w:rPr>
  </w:style>
  <w:style w:type="character" w:customStyle="1" w:styleId="WW8Num32z0">
    <w:name w:val="WW8Num32z0"/>
    <w:uiPriority w:val="99"/>
  </w:style>
  <w:style w:type="character" w:customStyle="1" w:styleId="WW8Num33z0">
    <w:name w:val="WW8Num33z0"/>
    <w:uiPriority w:val="99"/>
    <w:rPr>
      <w:b/>
      <w:bCs/>
    </w:rPr>
  </w:style>
  <w:style w:type="character" w:customStyle="1" w:styleId="WW8Num34z0">
    <w:name w:val="WW8Num34z0"/>
    <w:uiPriority w:val="99"/>
    <w:rPr>
      <w:rFonts w:ascii="Arial" w:eastAsia="Times New Roman" w:cs="Arial"/>
      <w:b/>
      <w:bCs/>
    </w:rPr>
  </w:style>
  <w:style w:type="character" w:customStyle="1" w:styleId="WW8Num35z0">
    <w:name w:val="WW8Num35z0"/>
    <w:uiPriority w:val="99"/>
  </w:style>
  <w:style w:type="character" w:customStyle="1" w:styleId="Nerodepina">
    <w:name w:val="N伹ero de p疊ina"/>
    <w:basedOn w:val="Fuentedeprrafopredeter"/>
    <w:uiPriority w:val="99"/>
  </w:style>
  <w:style w:type="character" w:customStyle="1" w:styleId="Caracteresdenotaalpie">
    <w:name w:val="Caracteres de nota al pie"/>
    <w:uiPriority w:val="99"/>
    <w:rPr>
      <w:position w:val="10"/>
    </w:rPr>
  </w:style>
  <w:style w:type="character" w:customStyle="1" w:styleId="EnlacedeInternet">
    <w:name w:val="Enlace de Internet"/>
    <w:uiPriority w:val="99"/>
    <w:rPr>
      <w:color w:val="0000FF"/>
      <w:u w:val="single"/>
    </w:rPr>
  </w:style>
  <w:style w:type="character" w:customStyle="1" w:styleId="BalloonTextChar">
    <w:name w:val="Balloon Text Char"/>
    <w:uiPriority w:val="99"/>
    <w:rPr>
      <w:rFonts w:ascii="Tahoma" w:eastAsia="Times New Roman" w:cs="Tahoma"/>
      <w:sz w:val="16"/>
      <w:szCs w:val="16"/>
      <w:lang w:val="en-US"/>
    </w:rPr>
  </w:style>
  <w:style w:type="character" w:customStyle="1" w:styleId="Destacado">
    <w:name w:val="Destacado"/>
    <w:uiPriority w:val="99"/>
    <w:rPr>
      <w:i/>
      <w:iCs/>
    </w:rPr>
  </w:style>
  <w:style w:type="character" w:customStyle="1" w:styleId="authors">
    <w:name w:val="authors"/>
    <w:basedOn w:val="Fuentedeprrafopredeter"/>
    <w:uiPriority w:val="99"/>
  </w:style>
  <w:style w:type="character" w:customStyle="1" w:styleId="CommentReference">
    <w:name w:val="Comment Reference"/>
    <w:uiPriority w:val="99"/>
    <w:rPr>
      <w:sz w:val="16"/>
      <w:szCs w:val="16"/>
    </w:rPr>
  </w:style>
  <w:style w:type="character" w:customStyle="1" w:styleId="CommentTextChar">
    <w:name w:val="Comment Text Char"/>
    <w:uiPriority w:val="99"/>
  </w:style>
  <w:style w:type="character" w:customStyle="1" w:styleId="apple-converted-space">
    <w:name w:val="apple-converted-space"/>
    <w:uiPriority w:val="99"/>
  </w:style>
  <w:style w:type="character" w:customStyle="1" w:styleId="EnlacedeInternetyavisitado">
    <w:name w:val="Enlace de Internet ya visitado"/>
    <w:uiPriority w:val="99"/>
    <w:rPr>
      <w:color w:val="954F72"/>
      <w:u w:val="single"/>
    </w:rPr>
  </w:style>
  <w:style w:type="character" w:customStyle="1" w:styleId="CommentSubjectChar">
    <w:name w:val="Comment Subject Char"/>
    <w:uiPriority w:val="99"/>
    <w:rPr>
      <w:b/>
      <w:bCs/>
      <w:lang w:val="en-US"/>
    </w:rPr>
  </w:style>
  <w:style w:type="paragraph" w:styleId="Encabezado">
    <w:name w:val="header"/>
    <w:basedOn w:val="Predeterminado"/>
    <w:next w:val="Cuerpodetexto"/>
    <w:link w:val="EncabezadoCar"/>
    <w:uiPriority w:val="99"/>
    <w:pPr>
      <w:keepNext/>
      <w:spacing w:before="240" w:after="120"/>
    </w:pPr>
    <w:rPr>
      <w:rFonts w:ascii="Arial" w:hAnsi="Microsoft YaHei" w:cs="Arial"/>
      <w:sz w:val="28"/>
      <w:szCs w:val="28"/>
      <w:lang w:eastAsia="es-AR"/>
    </w:rPr>
  </w:style>
  <w:style w:type="character" w:customStyle="1" w:styleId="EncabezadoCar">
    <w:name w:val="Encabezado Car"/>
    <w:basedOn w:val="Fuentedeprrafopredeter"/>
    <w:link w:val="Encabezado"/>
    <w:uiPriority w:val="99"/>
    <w:semiHidden/>
  </w:style>
  <w:style w:type="paragraph" w:customStyle="1" w:styleId="Cuerpodetexto">
    <w:name w:val="Cuerpo de texto"/>
    <w:basedOn w:val="Predeterminado"/>
    <w:uiPriority w:val="99"/>
    <w:pPr>
      <w:jc w:val="both"/>
    </w:pPr>
    <w:rPr>
      <w:rFonts w:ascii="Arial" w:cs="Arial"/>
      <w:color w:val="FF6600"/>
      <w:sz w:val="22"/>
      <w:szCs w:val="22"/>
      <w:lang w:val="es-AR" w:eastAsia="es-AR"/>
    </w:rPr>
  </w:style>
  <w:style w:type="paragraph" w:styleId="Lista">
    <w:name w:val="List"/>
    <w:basedOn w:val="Cuerpodetexto"/>
    <w:uiPriority w:val="99"/>
  </w:style>
  <w:style w:type="paragraph" w:customStyle="1" w:styleId="Etiqueta">
    <w:name w:val="Etiqueta"/>
    <w:basedOn w:val="Predeterminado"/>
    <w:uiPriority w:val="99"/>
    <w:pPr>
      <w:suppressLineNumbers/>
      <w:spacing w:before="120" w:after="120"/>
    </w:pPr>
    <w:rPr>
      <w:i/>
      <w:iCs/>
      <w:lang w:eastAsia="es-AR"/>
    </w:rPr>
  </w:style>
  <w:style w:type="paragraph" w:customStyle="1" w:styleId="ndice">
    <w:name w:val="ﾍndice"/>
    <w:basedOn w:val="Predeterminado"/>
    <w:uiPriority w:val="99"/>
    <w:pPr>
      <w:suppressLineNumbers/>
    </w:pPr>
    <w:rPr>
      <w:lang w:eastAsia="es-AR"/>
    </w:rPr>
  </w:style>
  <w:style w:type="paragraph" w:customStyle="1" w:styleId="Tulo">
    <w:name w:val="T咜ulo"/>
    <w:basedOn w:val="Predeterminado"/>
    <w:next w:val="Subtulo"/>
    <w:uiPriority w:val="99"/>
    <w:pPr>
      <w:widowControl w:val="0"/>
      <w:jc w:val="center"/>
    </w:pPr>
    <w:rPr>
      <w:rFonts w:ascii="Arial" w:cs="Arial"/>
      <w:b/>
      <w:bCs/>
      <w:sz w:val="28"/>
      <w:szCs w:val="28"/>
      <w:lang w:val="es-ES_tradnl" w:eastAsia="es-AR"/>
    </w:rPr>
  </w:style>
  <w:style w:type="paragraph" w:customStyle="1" w:styleId="Subtulo">
    <w:name w:val="Subt咜ulo"/>
    <w:basedOn w:val="Predeterminado"/>
    <w:next w:val="Cuerpodetexto"/>
    <w:uiPriority w:val="99"/>
    <w:pPr>
      <w:jc w:val="center"/>
    </w:pPr>
    <w:rPr>
      <w:rFonts w:ascii="Arial" w:cs="Arial"/>
      <w:b/>
      <w:bCs/>
      <w:sz w:val="32"/>
      <w:szCs w:val="32"/>
      <w:lang w:val="es-AR" w:eastAsia="es-AR"/>
    </w:rPr>
  </w:style>
  <w:style w:type="paragraph" w:customStyle="1" w:styleId="Piedepina">
    <w:name w:val="Pie de p疊ina"/>
    <w:basedOn w:val="Predeterminado"/>
    <w:uiPriority w:val="99"/>
    <w:rPr>
      <w:lang w:eastAsia="es-AR"/>
    </w:rPr>
  </w:style>
  <w:style w:type="paragraph" w:styleId="Descripcin">
    <w:name w:val="caption"/>
    <w:basedOn w:val="Predeterminado"/>
    <w:next w:val="Predeterminado"/>
    <w:uiPriority w:val="99"/>
    <w:qFormat/>
    <w:pPr>
      <w:jc w:val="both"/>
    </w:pPr>
    <w:rPr>
      <w:rFonts w:ascii="Arial" w:cs="Arial"/>
      <w:b/>
      <w:bCs/>
      <w:color w:val="0000FF"/>
      <w:sz w:val="22"/>
      <w:szCs w:val="22"/>
      <w:lang w:val="es-AR" w:eastAsia="es-AR"/>
    </w:rPr>
  </w:style>
  <w:style w:type="paragraph" w:customStyle="1" w:styleId="Notaalpie">
    <w:name w:val="Nota al pie"/>
    <w:basedOn w:val="Predeterminado"/>
    <w:uiPriority w:val="99"/>
    <w:rPr>
      <w:lang w:eastAsia="es-AR"/>
    </w:rPr>
  </w:style>
  <w:style w:type="paragraph" w:styleId="Textoindependiente2">
    <w:name w:val="Body Text 2"/>
    <w:basedOn w:val="Predeterminado"/>
    <w:link w:val="Textoindependiente2Car"/>
    <w:uiPriority w:val="99"/>
    <w:pPr>
      <w:jc w:val="both"/>
    </w:pPr>
    <w:rPr>
      <w:rFonts w:ascii="Arial" w:cs="Arial"/>
      <w:sz w:val="22"/>
      <w:szCs w:val="22"/>
      <w:lang w:eastAsia="es-AR"/>
    </w:rPr>
  </w:style>
  <w:style w:type="character" w:customStyle="1" w:styleId="Textoindependiente2Car">
    <w:name w:val="Texto independiente 2 Car"/>
    <w:basedOn w:val="Fuentedeprrafopredeter"/>
    <w:link w:val="Textoindependiente2"/>
    <w:uiPriority w:val="99"/>
    <w:semiHidden/>
  </w:style>
  <w:style w:type="paragraph" w:customStyle="1" w:styleId="Encabezamiento">
    <w:name w:val="Encabezamiento"/>
    <w:basedOn w:val="Predeterminado"/>
    <w:uiPriority w:val="99"/>
    <w:rPr>
      <w:lang w:eastAsia="es-AR"/>
    </w:rPr>
  </w:style>
  <w:style w:type="paragraph" w:styleId="NormalWeb">
    <w:name w:val="Normal (Web)"/>
    <w:basedOn w:val="Predeterminado"/>
    <w:uiPriority w:val="99"/>
    <w:pPr>
      <w:spacing w:before="280" w:after="280"/>
    </w:pPr>
    <w:rPr>
      <w:rFonts w:ascii="Verdana" w:cs="Verdana"/>
      <w:color w:val="000000"/>
      <w:sz w:val="15"/>
      <w:szCs w:val="15"/>
      <w:lang w:val="es-ES" w:eastAsia="es-AR"/>
    </w:rPr>
  </w:style>
  <w:style w:type="paragraph" w:styleId="Textodeglobo">
    <w:name w:val="Balloon Text"/>
    <w:basedOn w:val="Predeterminado"/>
    <w:link w:val="TextodegloboCar"/>
    <w:uiPriority w:val="99"/>
    <w:rPr>
      <w:rFonts w:ascii="Tahoma" w:cs="Tahoma"/>
      <w:sz w:val="16"/>
      <w:szCs w:val="16"/>
      <w:lang w:eastAsia="es-AR"/>
    </w:rPr>
  </w:style>
  <w:style w:type="character" w:customStyle="1" w:styleId="TextodegloboCar">
    <w:name w:val="Texto de globo Car"/>
    <w:link w:val="Textodeglobo"/>
    <w:uiPriority w:val="99"/>
    <w:semiHidden/>
    <w:rPr>
      <w:rFonts w:ascii="Segoe UI" w:hAnsi="Segoe UI" w:cs="Segoe UI"/>
      <w:sz w:val="18"/>
      <w:szCs w:val="18"/>
    </w:rPr>
  </w:style>
  <w:style w:type="paragraph" w:customStyle="1" w:styleId="Default">
    <w:name w:val="Default"/>
    <w:uiPriority w:val="99"/>
    <w:pPr>
      <w:autoSpaceDE w:val="0"/>
      <w:autoSpaceDN w:val="0"/>
      <w:adjustRightInd w:val="0"/>
    </w:pPr>
    <w:rPr>
      <w:rFonts w:ascii="Times New Roman" w:hAnsi="MS Mincho"/>
      <w:color w:val="000000"/>
      <w:sz w:val="24"/>
      <w:szCs w:val="24"/>
      <w:lang w:val="es-ES" w:eastAsia="ja-JP"/>
    </w:rPr>
  </w:style>
  <w:style w:type="paragraph" w:customStyle="1" w:styleId="papertitle">
    <w:name w:val="paper title"/>
    <w:basedOn w:val="Default"/>
    <w:next w:val="Default"/>
    <w:uiPriority w:val="99"/>
  </w:style>
  <w:style w:type="paragraph" w:customStyle="1" w:styleId="Prafodelista1">
    <w:name w:val="P疵rafo de lista1"/>
    <w:basedOn w:val="Predeterminado"/>
    <w:uiPriority w:val="99"/>
    <w:pPr>
      <w:ind w:left="720"/>
    </w:pPr>
    <w:rPr>
      <w:lang w:eastAsia="es-AR"/>
    </w:rPr>
  </w:style>
  <w:style w:type="paragraph" w:customStyle="1" w:styleId="CommentText">
    <w:name w:val="Comment Text"/>
    <w:basedOn w:val="Predeterminado"/>
    <w:uiPriority w:val="99"/>
    <w:rPr>
      <w:lang w:eastAsia="es-AR"/>
    </w:rPr>
  </w:style>
  <w:style w:type="paragraph" w:customStyle="1" w:styleId="m1518504101863176917gmail-msobodytext">
    <w:name w:val="m_1518504101863176917gmail-msobodytext"/>
    <w:basedOn w:val="Predeterminado"/>
    <w:uiPriority w:val="99"/>
    <w:pPr>
      <w:spacing w:before="280" w:after="280"/>
    </w:pPr>
    <w:rPr>
      <w:lang w:eastAsia="es-AR"/>
    </w:rPr>
  </w:style>
  <w:style w:type="paragraph" w:styleId="Prrafodelista">
    <w:name w:val="List Paragraph"/>
    <w:basedOn w:val="Predeterminado"/>
    <w:uiPriority w:val="99"/>
    <w:qFormat/>
    <w:pPr>
      <w:ind w:left="720"/>
    </w:pPr>
    <w:rPr>
      <w:lang w:eastAsia="es-AR"/>
    </w:rPr>
  </w:style>
  <w:style w:type="paragraph" w:customStyle="1" w:styleId="CommentSubject">
    <w:name w:val="Comment Subject"/>
    <w:basedOn w:val="CommentText"/>
    <w:next w:val="CommentText"/>
    <w:uiPriority w:val="99"/>
    <w:rPr>
      <w:b/>
      <w:bCs/>
      <w:sz w:val="20"/>
      <w:szCs w:val="20"/>
    </w:rPr>
  </w:style>
  <w:style w:type="paragraph" w:customStyle="1" w:styleId="Contenidodelatabla">
    <w:name w:val="Contenido de la tabla"/>
    <w:basedOn w:val="Predeterminado"/>
    <w:uiPriority w:val="99"/>
    <w:pPr>
      <w:suppressLineNumbers/>
    </w:pPr>
    <w:rPr>
      <w:lang w:eastAsia="es-AR"/>
    </w:rPr>
  </w:style>
  <w:style w:type="paragraph" w:customStyle="1" w:styleId="Encabezadodelatabla">
    <w:name w:val="Encabezado de la tabla"/>
    <w:basedOn w:val="Contenidodelatabla"/>
    <w:uiPriority w:val="99"/>
    <w:pPr>
      <w:jc w:val="center"/>
    </w:pPr>
    <w:rPr>
      <w:b/>
      <w:bCs/>
    </w:rPr>
  </w:style>
  <w:style w:type="paragraph" w:customStyle="1" w:styleId="Contenidodelmarco">
    <w:name w:val="Contenido del marco"/>
    <w:basedOn w:val="Cuerpodetexto"/>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dx.doi.org/10.1038/35081161"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24</Pages>
  <Words>6627</Words>
  <Characters>36454</Characters>
  <Application>Microsoft Office Word</Application>
  <DocSecurity>0</DocSecurity>
  <Lines>303</Lines>
  <Paragraphs>85</Paragraphs>
  <ScaleCrop>false</ScaleCrop>
  <Company/>
  <LinksUpToDate>false</LinksUpToDate>
  <CharactersWithSpaces>42996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Elena Vago</dc:creator>
  <cp:keywords/>
  <dc:description/>
  <cp:lastModifiedBy>Claudia Nelida Fernandez</cp:lastModifiedBy>
  <cp:revision>2</cp:revision>
  <cp:lastPrinted>2019-04-07T00:18:00Z</cp:lastPrinted>
  <dcterms:created xsi:type="dcterms:W3CDTF">2022-01-05T20:26:00Z</dcterms:created>
  <dcterms:modified xsi:type="dcterms:W3CDTF">2022-01-05T20:26:00Z</dcterms:modified>
</cp:coreProperties>
</file>